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9561" w14:textId="77777777" w:rsidR="00E82943" w:rsidRPr="003E1EBD" w:rsidRDefault="00EC75A8" w:rsidP="00046A23">
      <w:r>
        <w:rPr>
          <w:noProof/>
        </w:rPr>
        <w:drawing>
          <wp:anchor distT="0" distB="0" distL="114300" distR="114300" simplePos="0" relativeHeight="251659264" behindDoc="0" locked="0" layoutInCell="1" allowOverlap="1" wp14:anchorId="5DE194DB" wp14:editId="08F24E37">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BF9DA2" w14:textId="77777777" w:rsidR="00E82943" w:rsidRPr="003E1EBD" w:rsidRDefault="00EC75A8" w:rsidP="00046A23">
      <w:r>
        <w:rPr>
          <w:noProof/>
        </w:rPr>
        <w:drawing>
          <wp:anchor distT="0" distB="0" distL="114300" distR="114300" simplePos="0" relativeHeight="251661312" behindDoc="0" locked="0" layoutInCell="1" allowOverlap="1" wp14:anchorId="70438793" wp14:editId="69B51620">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631EAFE6" wp14:editId="2B4F0870">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14:paraId="720DBD1D" w14:textId="0142C70C" w:rsidR="00C51B7E" w:rsidRPr="00046A23" w:rsidRDefault="00046A23" w:rsidP="00046A23">
                            <w:pPr>
                              <w:pStyle w:val="Title"/>
                            </w:pPr>
                            <w:r>
                              <w:t xml:space="preserve">Galvenie </w:t>
                            </w:r>
                            <w:r>
                              <w:rPr>
                                <w:b w:val="0"/>
                              </w:rPr>
                              <w:t>vēstījumi</w:t>
                            </w:r>
                          </w:p>
                          <w:p w14:paraId="3590FB96" w14:textId="4FFADE1B" w:rsidR="00C51B7E" w:rsidRPr="00046A23" w:rsidRDefault="00046A23" w:rsidP="00046A23">
                            <w:pPr>
                              <w:pStyle w:val="Heading2"/>
                            </w:pPr>
                            <w:r>
                              <w:t>2024.–2025. gada kampaņa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1EAFE6" id="_x0000_t202" coordsize="21600,21600" o:spt="202" path="m,l,21600r21600,l21600,xe">
                <v:stroke joinstyle="miter"/>
                <v:path gradientshapeok="t" o:connecttype="rect"/>
              </v:shapetype>
              <v:shape id="Text Box 8" o:spid="_x0000_s1026" type="#_x0000_t202" style="position:absolute;margin-left:191pt;margin-top:516.7pt;width:275.25pt;height:10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" filled="f" stroked="f" strokeweight=".5pt">
                <v:textbox>
                  <w:txbxContent>
                    <w:p w14:paraId="720DBD1D" w14:textId="0142C70C" w:rsidR="00C51B7E" w:rsidRPr="00046A23" w:rsidRDefault="00046A23" w:rsidP="00046A23">
                      <w:pPr>
                        <w:pStyle w:val="Titre"/>
                      </w:pPr>
                      <w:r>
                        <w:t xml:space="preserve">Galvenie </w:t>
                      </w:r>
                      <w:r>
                        <w:rPr>
                          <w:b w:val="0"/>
                        </w:rPr>
                        <w:t xml:space="preserve">vēstījumi</w:t>
                      </w:r>
                    </w:p>
                    <w:p w14:paraId="3590FB96" w14:textId="4FFADE1B" w:rsidR="00C51B7E" w:rsidRPr="00046A23" w:rsidRDefault="00046A23" w:rsidP="00046A23">
                      <w:pPr>
                        <w:pStyle w:val="Titre2"/>
                      </w:pPr>
                      <w:r>
                        <w:t xml:space="preserve">2024.–2025. gada kampaņa</w:t>
                      </w:r>
                    </w:p>
                  </w:txbxContent>
                </v:textbox>
              </v:shape>
            </w:pict>
          </mc:Fallback>
        </mc:AlternateContent>
      </w:r>
      <w:r>
        <w:rPr>
          <w:noProof/>
        </w:rPr>
        <w:drawing>
          <wp:anchor distT="0" distB="0" distL="114300" distR="114300" simplePos="0" relativeHeight="251660288" behindDoc="0" locked="0" layoutInCell="1" allowOverlap="1" wp14:anchorId="12036A29" wp14:editId="7A8403E3">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Pr>
          <w:noProof/>
          <w:sz w:val="44"/>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br w:type="page"/>
      </w:r>
    </w:p>
    <w:p w14:paraId="47F8665C" w14:textId="77777777" w:rsidR="00046A23" w:rsidRPr="0049466A" w:rsidRDefault="00046A23" w:rsidP="00046A23">
      <w:pPr>
        <w:pStyle w:val="Heading1"/>
      </w:pPr>
      <w:r w:rsidRPr="009A5670">
        <w:rPr>
          <w:rStyle w:val="TitleChar"/>
          <w:b/>
          <w:bCs/>
        </w:rPr>
        <w:lastRenderedPageBreak/>
        <w:t>Kampaņas</w:t>
      </w:r>
      <w:r w:rsidRPr="00C87839">
        <w:rPr>
          <w:rStyle w:val="TitleChar"/>
        </w:rPr>
        <w:t xml:space="preserve"> kopsavilkums</w:t>
      </w:r>
    </w:p>
    <w:p w14:paraId="1F7BBCF4" w14:textId="77777777" w:rsidR="00046A23" w:rsidRPr="0049466A" w:rsidRDefault="00046A23" w:rsidP="00046A23">
      <w:pPr>
        <w:pStyle w:val="Heading2"/>
      </w:pPr>
      <w:r>
        <w:t>Kampaņas nosaukums</w:t>
      </w:r>
    </w:p>
    <w:p w14:paraId="690C94D6" w14:textId="77777777" w:rsidR="00046A23" w:rsidRDefault="00046A23" w:rsidP="00046A23">
      <w:r>
        <w:t>The Cities Heat Detox.</w:t>
      </w:r>
    </w:p>
    <w:p w14:paraId="22B6B86D" w14:textId="77777777" w:rsidR="00046A23" w:rsidRPr="0049466A" w:rsidRDefault="00046A23" w:rsidP="00046A23">
      <w:pPr>
        <w:pStyle w:val="Heading2"/>
      </w:pPr>
      <w:r>
        <w:t>Kampaņas tēma</w:t>
      </w:r>
    </w:p>
    <w:p w14:paraId="56CDE98A" w14:textId="77777777" w:rsidR="00046A23" w:rsidRDefault="00046A23" w:rsidP="00046A23">
      <w:r>
        <w:t>Centralizētās siltumapgādes dekarbonizācija saskaņā ar ES apņemšanos pakāpeniski atteikties no gāzes izmantošanas.</w:t>
      </w:r>
    </w:p>
    <w:p w14:paraId="348538F6" w14:textId="77777777" w:rsidR="00046A23" w:rsidRPr="0049466A" w:rsidRDefault="00046A23" w:rsidP="00046A23">
      <w:pPr>
        <w:pStyle w:val="Heading2"/>
      </w:pPr>
      <w:r>
        <w:t>Kampaņas ilgums</w:t>
      </w:r>
    </w:p>
    <w:p w14:paraId="75E7096F" w14:textId="77777777" w:rsidR="00046A23" w:rsidRDefault="00046A23" w:rsidP="00046A23">
      <w:r>
        <w:t>2024. gada jūnijs — 2025. gada jūnijs</w:t>
      </w:r>
    </w:p>
    <w:p w14:paraId="3B61DFE2" w14:textId="77777777" w:rsidR="00046A23" w:rsidRPr="0049466A" w:rsidRDefault="00046A23" w:rsidP="00046A23">
      <w:pPr>
        <w:pStyle w:val="Heading2"/>
      </w:pPr>
      <w:r>
        <w:t>Pārskats</w:t>
      </w:r>
    </w:p>
    <w:p w14:paraId="34D6C4FB" w14:textId="77777777" w:rsidR="00046A23" w:rsidRDefault="00046A23" w:rsidP="00046A23">
      <w:r>
        <w:t>Ņemot vērā ES apņemšanos pakāpeniski atteikties no gāzes izmantošanas, šī kampaņa vērsīs uzmanību uz to, cik svarīgi ir dekarbonizēt pilsētu siltumapgādes sistēmas, lai sasniegtu Eiropas mērķus. Īstenojot plašu darbību kopumu, kampaņas mērķis ir padziļināt izpratni un palīdzēt vietējām iestādēm pārkārtoties no fosilā kurināmā izmantošanas, veicot visaptverošu siltumapgādes plānošanu un ieviešot ilgtspējīgu centralizēto siltumapgādi. Tādēļ kampaņā liela uzmanība tiks pievērsta papildu ieguvumiem, ko sniedz siltumapgādes dekarbonizācija pilsētās: veselīgāks gaiss, modernāka ekonomika un lielāka enerģētiskā drošība. </w:t>
      </w:r>
    </w:p>
    <w:p w14:paraId="2E4FAFE5" w14:textId="77777777" w:rsidR="00046A23" w:rsidRPr="0049466A" w:rsidRDefault="00046A23" w:rsidP="00046A23">
      <w:pPr>
        <w:pStyle w:val="Heading1"/>
      </w:pPr>
      <w:r>
        <w:rPr>
          <w:rStyle w:val="TitleChar"/>
        </w:rPr>
        <w:t>Īsumā par kampaņu</w:t>
      </w:r>
    </w:p>
    <w:p w14:paraId="421BAE72" w14:textId="77777777" w:rsidR="00046A23" w:rsidRPr="00046A23" w:rsidRDefault="00046A23" w:rsidP="00046A23">
      <w:pPr>
        <w:pStyle w:val="Heading2"/>
        <w:rPr>
          <w:u w:val="single"/>
        </w:rPr>
      </w:pPr>
      <w:r>
        <w:rPr>
          <w:u w:val="single"/>
        </w:rPr>
        <w:t>The Cities Heat Detox</w:t>
      </w:r>
    </w:p>
    <w:p w14:paraId="3B00257A" w14:textId="77777777" w:rsidR="00046A23" w:rsidRPr="00516C9B" w:rsidRDefault="00046A23" w:rsidP="00046A23">
      <w:pPr>
        <w:pStyle w:val="Heading2"/>
      </w:pPr>
      <w:r>
        <w:t>Veselīga siltumapgāde pilsētām</w:t>
      </w:r>
    </w:p>
    <w:p w14:paraId="0FAA9FE7" w14:textId="77777777" w:rsidR="00046A23" w:rsidRPr="00516C9B" w:rsidRDefault="00046A23" w:rsidP="00046A23">
      <w:pPr>
        <w:spacing w:after="0"/>
        <w:rPr>
          <w:color w:val="000000" w:themeColor="text1"/>
        </w:rPr>
      </w:pPr>
      <w:r>
        <w:rPr>
          <w:color w:val="000000" w:themeColor="text1"/>
        </w:rPr>
        <w:t>Tīrākam gaisam, stiprākai ekonomikai un noturīgākām kopienām.</w:t>
      </w:r>
    </w:p>
    <w:p w14:paraId="1FC50795" w14:textId="77777777" w:rsidR="00046A23" w:rsidRPr="00516C9B" w:rsidRDefault="00046A23" w:rsidP="00046A23">
      <w:pPr>
        <w:spacing w:after="0"/>
        <w:rPr>
          <w:color w:val="000000" w:themeColor="text1"/>
        </w:rPr>
      </w:pPr>
    </w:p>
    <w:p w14:paraId="64C0AE7A" w14:textId="77777777" w:rsidR="00046A23" w:rsidRPr="00516C9B" w:rsidRDefault="00046A23" w:rsidP="00046A23">
      <w:pPr>
        <w:spacing w:after="0"/>
        <w:rPr>
          <w:i/>
          <w:iCs/>
          <w:color w:val="000000" w:themeColor="text1"/>
        </w:rPr>
      </w:pPr>
      <w:r>
        <w:rPr>
          <w:i/>
          <w:color w:val="000000" w:themeColor="text1"/>
        </w:rPr>
        <w:t>#HealthyHeat4Cities #CitiesHeatDetox</w:t>
      </w:r>
    </w:p>
    <w:p w14:paraId="4EF265DF" w14:textId="77777777" w:rsidR="00046A23" w:rsidRDefault="00046A23" w:rsidP="00046A23">
      <w:pPr>
        <w:spacing w:after="0"/>
        <w:rPr>
          <w:lang w:val="en-US"/>
        </w:rPr>
      </w:pPr>
    </w:p>
    <w:p w14:paraId="443AF6E6" w14:textId="77777777" w:rsidR="00046A23" w:rsidRPr="00BF58CE" w:rsidRDefault="00046A23" w:rsidP="00046A23">
      <w:pPr>
        <w:spacing w:after="0"/>
      </w:pPr>
      <w:r>
        <w:t xml:space="preserve">Tas, ka siltumapgādei izmantojam fosilo kurināmo, kaitē mūsu videi, veselībai un sabiedrībai. Šobrīd 72 % ēku Eiropā tiek apsildītas, izmantojot fosilo kurināmo, kas sekmē klimata pārmaiņas, enerģētisko nedrošību un sliktāku gaisa kvalitāti. Nav šaubu, ka veselīgākas un drošākas nākotnes vārdā mūsu pilsētām ir nepieciešama toksisku siltumavotu visaptveroša attīrīšana. </w:t>
      </w:r>
    </w:p>
    <w:p w14:paraId="251EBC0F" w14:textId="77777777" w:rsidR="00046A23" w:rsidRPr="00BF58CE" w:rsidRDefault="00046A23" w:rsidP="00046A23">
      <w:pPr>
        <w:spacing w:after="0"/>
      </w:pPr>
    </w:p>
    <w:p w14:paraId="27215182" w14:textId="77777777" w:rsidR="00046A23" w:rsidRPr="00BF58CE" w:rsidRDefault="00046A23" w:rsidP="00046A23">
      <w:pPr>
        <w:spacing w:after="0"/>
      </w:pPr>
      <w:r>
        <w:t xml:space="preserve">Pilsētām piemīt potenciāls īstenot nopietnas pārmaiņas. Efektīvi plānojot siltumapgādi un paplašinot tādus kolektīvos risinājumus kā dekarbonizēta centralizētā siltumapgāde, vietējās pašvaldības var pakāpeniski plašā mērogā atteikties no gāzes izmantošanas siltumapgādē. </w:t>
      </w:r>
    </w:p>
    <w:p w14:paraId="4440BBB2" w14:textId="77777777" w:rsidR="00046A23" w:rsidRPr="00BF58CE" w:rsidRDefault="00046A23" w:rsidP="00046A23">
      <w:pPr>
        <w:spacing w:after="0"/>
      </w:pPr>
    </w:p>
    <w:p w14:paraId="026D82D8" w14:textId="77777777" w:rsidR="00046A23" w:rsidRDefault="00046A23" w:rsidP="00046A23">
      <w:pPr>
        <w:spacing w:after="0"/>
        <w:rPr>
          <w:b/>
          <w:bCs/>
        </w:rPr>
      </w:pPr>
      <w:r>
        <w:rPr>
          <w:b/>
        </w:rPr>
        <w:t xml:space="preserve">Pievienojieties Eiropas pilsētu siltumapgādes sistēmu detoksifikācijas kustībai, izvēloties drošu un veselīgu nākotni visiem. </w:t>
      </w:r>
    </w:p>
    <w:p w14:paraId="3E415084" w14:textId="77777777" w:rsidR="00046A23" w:rsidRPr="0049466A" w:rsidRDefault="00046A23" w:rsidP="00046A23"/>
    <w:p w14:paraId="16802A38" w14:textId="77777777" w:rsidR="00046A23" w:rsidRDefault="00046A23" w:rsidP="00046A23">
      <w:pPr>
        <w:spacing w:after="0"/>
      </w:pPr>
      <w:r>
        <w:br w:type="page"/>
      </w:r>
    </w:p>
    <w:p w14:paraId="4DE05BFE" w14:textId="77777777" w:rsidR="00046A23" w:rsidRPr="00046A23" w:rsidRDefault="00046A23" w:rsidP="00046A23">
      <w:pPr>
        <w:pStyle w:val="Heading1"/>
      </w:pPr>
      <w:r>
        <w:lastRenderedPageBreak/>
        <w:t xml:space="preserve">Vēstījums </w:t>
      </w:r>
      <w:r>
        <w:rPr>
          <w:b w:val="0"/>
        </w:rPr>
        <w:t>1. pīlārs</w:t>
      </w:r>
    </w:p>
    <w:p w14:paraId="3335FB36" w14:textId="77777777" w:rsidR="00046A23" w:rsidRDefault="00046A23" w:rsidP="00046A23">
      <w:pPr>
        <w:pStyle w:val="Heading2"/>
      </w:pPr>
      <w:r>
        <w:t>Kāpēc “The Cities Heat Detox”?</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BF58CE" w14:paraId="4A56E8B5" w14:textId="77777777" w:rsidTr="004C6886">
        <w:trPr>
          <w:trHeight w:val="300"/>
        </w:trPr>
        <w:tc>
          <w:tcPr>
            <w:tcW w:w="9060" w:type="dxa"/>
            <w:gridSpan w:val="3"/>
            <w:shd w:val="clear" w:color="auto" w:fill="F2F2F2" w:themeFill="background1" w:themeFillShade="F2"/>
          </w:tcPr>
          <w:p w14:paraId="38F31B96" w14:textId="77777777" w:rsidR="00046A23" w:rsidRPr="00516C9B" w:rsidRDefault="00046A23" w:rsidP="004C6886">
            <w:pPr>
              <w:jc w:val="center"/>
              <w:rPr>
                <w:b/>
                <w:bCs/>
                <w:color w:val="000000" w:themeColor="text1"/>
              </w:rPr>
            </w:pPr>
            <w:r>
              <w:rPr>
                <w:b/>
                <w:color w:val="000000" w:themeColor="text1"/>
              </w:rPr>
              <w:t>Veselīgākām pilsētām</w:t>
            </w:r>
          </w:p>
          <w:p w14:paraId="61762295" w14:textId="77777777" w:rsidR="00046A23" w:rsidRPr="00516C9B" w:rsidRDefault="00046A23" w:rsidP="004C6886">
            <w:pPr>
              <w:jc w:val="center"/>
              <w:rPr>
                <w:color w:val="000000" w:themeColor="text1"/>
              </w:rPr>
            </w:pPr>
            <w:r>
              <w:rPr>
                <w:color w:val="000000" w:themeColor="text1"/>
              </w:rPr>
              <w:t>Aizsargāt pilsētas veselību nozīmē neizmantot toksiskus siltumavotus.</w:t>
            </w:r>
          </w:p>
          <w:p w14:paraId="0C1986D9" w14:textId="77777777" w:rsidR="00046A23" w:rsidRPr="00516C9B" w:rsidRDefault="00046A23" w:rsidP="004C6886">
            <w:pPr>
              <w:jc w:val="center"/>
              <w:rPr>
                <w:color w:val="000000" w:themeColor="text1"/>
              </w:rPr>
            </w:pPr>
            <w:r>
              <w:rPr>
                <w:color w:val="000000" w:themeColor="text1"/>
              </w:rPr>
              <w:t>Globālajā cīņā ar klimata pārmaiņām pilsētu siltumapgādes detoksifikācija ir svarīgs solis, lai līdz 2050. gadam Eiropā sasniegtu neto nulles emisiju līmeni.</w:t>
            </w:r>
          </w:p>
        </w:tc>
      </w:tr>
      <w:tr w:rsidR="00046A23" w:rsidRPr="00BF58CE" w14:paraId="36944075" w14:textId="77777777" w:rsidTr="004C6886">
        <w:trPr>
          <w:trHeight w:val="300"/>
        </w:trPr>
        <w:tc>
          <w:tcPr>
            <w:tcW w:w="3020" w:type="dxa"/>
            <w:shd w:val="clear" w:color="auto" w:fill="F2F2F2" w:themeFill="background1" w:themeFillShade="F2"/>
          </w:tcPr>
          <w:p w14:paraId="032A323D" w14:textId="77777777" w:rsidR="00046A23" w:rsidRPr="00516C9B" w:rsidRDefault="00046A23" w:rsidP="004C6886">
            <w:pPr>
              <w:jc w:val="center"/>
              <w:rPr>
                <w:b/>
                <w:bCs/>
                <w:color w:val="000000" w:themeColor="text1"/>
              </w:rPr>
            </w:pPr>
            <w:r>
              <w:rPr>
                <w:b/>
                <w:color w:val="000000" w:themeColor="text1"/>
              </w:rPr>
              <w:t>Tīrākam gaisam</w:t>
            </w:r>
          </w:p>
          <w:p w14:paraId="04D5F068" w14:textId="77777777" w:rsidR="00046A23" w:rsidRPr="00BF58CE" w:rsidRDefault="00046A23" w:rsidP="004C6886">
            <w:pPr>
              <w:jc w:val="center"/>
            </w:pPr>
            <w:r>
              <w:t>Lai uzlabotu gaisa kvalitāti un veselību pilsētās, īpaši blīvi apdzīvotās pilsētu teritorijās, aizsargājot jūsu pilsētas vidi un iedzīvotāju labbūtību.</w:t>
            </w:r>
          </w:p>
          <w:p w14:paraId="1E7479A3" w14:textId="77777777" w:rsidR="00046A23" w:rsidRPr="00BF58CE" w:rsidRDefault="00046A23" w:rsidP="004C6886">
            <w:pPr>
              <w:jc w:val="center"/>
              <w:rPr>
                <w:b/>
                <w:bCs/>
              </w:rPr>
            </w:pPr>
          </w:p>
        </w:tc>
        <w:tc>
          <w:tcPr>
            <w:tcW w:w="3020" w:type="dxa"/>
            <w:shd w:val="clear" w:color="auto" w:fill="F2F2F2" w:themeFill="background1" w:themeFillShade="F2"/>
          </w:tcPr>
          <w:p w14:paraId="756B20FF" w14:textId="77777777" w:rsidR="00046A23" w:rsidRPr="00516C9B" w:rsidRDefault="00046A23" w:rsidP="004C6886">
            <w:pPr>
              <w:jc w:val="center"/>
              <w:rPr>
                <w:b/>
                <w:bCs/>
                <w:color w:val="000000" w:themeColor="text1"/>
              </w:rPr>
            </w:pPr>
            <w:r>
              <w:rPr>
                <w:b/>
                <w:color w:val="000000" w:themeColor="text1"/>
              </w:rPr>
              <w:t>Stiprākai ekonomikai</w:t>
            </w:r>
          </w:p>
          <w:p w14:paraId="29DDD771" w14:textId="77777777" w:rsidR="00046A23" w:rsidRPr="00516C9B" w:rsidRDefault="00046A23" w:rsidP="004C6886">
            <w:pPr>
              <w:jc w:val="center"/>
              <w:rPr>
                <w:color w:val="000000" w:themeColor="text1"/>
              </w:rPr>
            </w:pPr>
            <w:r>
              <w:rPr>
                <w:color w:val="000000" w:themeColor="text1"/>
              </w:rPr>
              <w:t>Lai atbalstītu energoefektīvāku, mūsdienīgāku un apritīgāku ekonomiku, izveidojot darbavietas jaunā nozarē.</w:t>
            </w:r>
          </w:p>
          <w:p w14:paraId="3E9EC6D1" w14:textId="77777777" w:rsidR="00046A23" w:rsidRPr="00516C9B" w:rsidRDefault="00046A23" w:rsidP="004C6886">
            <w:pPr>
              <w:jc w:val="center"/>
              <w:rPr>
                <w:b/>
                <w:bCs/>
                <w:color w:val="000000" w:themeColor="text1"/>
              </w:rPr>
            </w:pPr>
          </w:p>
        </w:tc>
        <w:tc>
          <w:tcPr>
            <w:tcW w:w="3020" w:type="dxa"/>
            <w:shd w:val="clear" w:color="auto" w:fill="F2F2F2" w:themeFill="background1" w:themeFillShade="F2"/>
          </w:tcPr>
          <w:p w14:paraId="6C3E25AD" w14:textId="77777777" w:rsidR="00046A23" w:rsidRPr="00516C9B" w:rsidRDefault="00046A23" w:rsidP="004C6886">
            <w:pPr>
              <w:jc w:val="center"/>
              <w:rPr>
                <w:b/>
                <w:bCs/>
                <w:color w:val="000000" w:themeColor="text1"/>
              </w:rPr>
            </w:pPr>
            <w:r>
              <w:rPr>
                <w:b/>
                <w:color w:val="000000" w:themeColor="text1"/>
              </w:rPr>
              <w:t>Noturīgākām kopienām</w:t>
            </w:r>
          </w:p>
          <w:p w14:paraId="27385150" w14:textId="77777777" w:rsidR="00046A23" w:rsidRPr="00516C9B" w:rsidRDefault="00046A23" w:rsidP="004C6886">
            <w:pPr>
              <w:jc w:val="center"/>
              <w:rPr>
                <w:color w:val="000000" w:themeColor="text1"/>
              </w:rPr>
            </w:pPr>
            <w:r>
              <w:rPr>
                <w:color w:val="000000" w:themeColor="text1"/>
              </w:rPr>
              <w:t>Lai nodrošinātu enerģētisko neatkarību un taisnīgu pārkārtošanos, kas cīnās ar enerģētisko nabadzību un mazina klimata pārmaiņu ilgtermiņa ietekmi uz vietējām kopienām.</w:t>
            </w:r>
          </w:p>
        </w:tc>
      </w:tr>
    </w:tbl>
    <w:p w14:paraId="70798C89" w14:textId="77777777" w:rsidR="00046A23" w:rsidRDefault="00046A23" w:rsidP="00046A23">
      <w:pPr>
        <w:spacing w:after="0"/>
        <w:rPr>
          <w:b/>
          <w:bCs/>
        </w:rPr>
      </w:pPr>
    </w:p>
    <w:p w14:paraId="02116147" w14:textId="77777777" w:rsidR="00046A23" w:rsidRDefault="00046A23" w:rsidP="00046A23">
      <w:pPr>
        <w:pStyle w:val="Heading1"/>
      </w:pPr>
      <w:r>
        <w:t xml:space="preserve">Vēstījums </w:t>
      </w:r>
      <w:r>
        <w:rPr>
          <w:b w:val="0"/>
        </w:rPr>
        <w:t>2. pīlārs</w:t>
      </w:r>
    </w:p>
    <w:p w14:paraId="6FCD9DDB" w14:textId="77777777" w:rsidR="00046A23" w:rsidRDefault="00046A23" w:rsidP="00046A23">
      <w:pPr>
        <w:pStyle w:val="Heading2"/>
      </w:pPr>
      <w:r>
        <w:t>Ko pilsētas var darīt, lai detoksificētu savu siltumapgādi?</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BF58CE" w14:paraId="3B7DBB54"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3E2DDC30" w14:textId="77777777" w:rsidR="00046A23" w:rsidRPr="00516C9B" w:rsidRDefault="00046A23" w:rsidP="004C6886">
            <w:pPr>
              <w:jc w:val="center"/>
              <w:rPr>
                <w:b/>
                <w:bCs/>
                <w:color w:val="000000" w:themeColor="text1"/>
              </w:rPr>
            </w:pPr>
            <w:r>
              <w:rPr>
                <w:b/>
                <w:color w:val="000000" w:themeColor="text1"/>
              </w:rPr>
              <w:t>Nav nepieciešams dedzināt toksiskus siltumresursus, lai apsildītu pilsētas.</w:t>
            </w:r>
          </w:p>
          <w:p w14:paraId="0064F0FD" w14:textId="77777777" w:rsidR="00046A23" w:rsidRPr="00516C9B" w:rsidRDefault="00046A23" w:rsidP="004C6886">
            <w:pPr>
              <w:jc w:val="center"/>
              <w:rPr>
                <w:color w:val="000000" w:themeColor="text1"/>
              </w:rPr>
            </w:pPr>
            <w:r>
              <w:rPr>
                <w:color w:val="000000" w:themeColor="text1"/>
              </w:rPr>
              <w:t>Pilsētas var detoksificēt siltumapgādi plašā mērogā, masveidā pārejot uz tīrākām, mūsdienīgākām un ilgtspējīgākām siltumapgādes sistēmām. Lūk, kā to var izdarīt trīs soļos.</w:t>
            </w:r>
          </w:p>
        </w:tc>
      </w:tr>
      <w:tr w:rsidR="00046A23" w:rsidRPr="00BF58CE" w14:paraId="6CF07C99"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1885FCE" w14:textId="77777777" w:rsidR="00046A23" w:rsidRPr="00516C9B" w:rsidRDefault="00046A23" w:rsidP="004C6886">
            <w:pPr>
              <w:numPr>
                <w:ilvl w:val="0"/>
                <w:numId w:val="1"/>
              </w:numPr>
              <w:rPr>
                <w:b/>
                <w:bCs/>
                <w:color w:val="000000" w:themeColor="text1"/>
              </w:rPr>
            </w:pPr>
            <w:r>
              <w:rPr>
                <w:b/>
                <w:color w:val="000000" w:themeColor="text1"/>
              </w:rPr>
              <w:t>Pazīstiet savu siltumapgādes sistēmu</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47D04557" w14:textId="77777777" w:rsidR="00046A23" w:rsidRPr="00516C9B" w:rsidRDefault="00046A23" w:rsidP="004C6886">
            <w:pPr>
              <w:numPr>
                <w:ilvl w:val="0"/>
                <w:numId w:val="1"/>
              </w:numPr>
              <w:rPr>
                <w:b/>
                <w:bCs/>
                <w:color w:val="000000" w:themeColor="text1"/>
              </w:rPr>
            </w:pPr>
            <w:r>
              <w:rPr>
                <w:b/>
                <w:color w:val="000000" w:themeColor="text1"/>
              </w:rPr>
              <w:t>Detoksifikācija visā pilsētā</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C00FCD7" w14:textId="77777777" w:rsidR="00046A23" w:rsidRPr="00516C9B" w:rsidRDefault="00046A23" w:rsidP="004C6886">
            <w:pPr>
              <w:numPr>
                <w:ilvl w:val="0"/>
                <w:numId w:val="1"/>
              </w:numPr>
              <w:rPr>
                <w:b/>
                <w:bCs/>
                <w:color w:val="000000" w:themeColor="text1"/>
              </w:rPr>
            </w:pPr>
            <w:r>
              <w:rPr>
                <w:b/>
                <w:color w:val="000000" w:themeColor="text1"/>
              </w:rPr>
              <w:t>Attīriet savus siltumavotus</w:t>
            </w:r>
          </w:p>
        </w:tc>
      </w:tr>
      <w:tr w:rsidR="00046A23" w:rsidRPr="00BF58CE" w14:paraId="13917C63"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60E8F822" w14:textId="55C934A0" w:rsidR="00046A23" w:rsidRPr="00BF58CE" w:rsidRDefault="00046A23" w:rsidP="004C6886">
            <w:pPr>
              <w:jc w:val="center"/>
            </w:pPr>
            <w:r>
              <w:t>Jebkuras detoksifikācijas pirmais solis ir skaidra izpratne par sistēmu</w:t>
            </w:r>
            <w:r w:rsidR="00634EF6">
              <w:t> </w:t>
            </w:r>
            <w:r w:rsidR="00DD5600" w:rsidRPr="00DD5600">
              <w:t>—</w:t>
            </w:r>
            <w:r>
              <w:t xml:space="preserve"> jūsu pilsētas siltumavotiem, siltuma pieprasījumu un iespējamajām alternatīvām.</w:t>
            </w:r>
          </w:p>
          <w:p w14:paraId="6484289C" w14:textId="77777777" w:rsidR="00046A23" w:rsidRPr="00BF58CE" w:rsidRDefault="00046A23" w:rsidP="004C6886">
            <w:pPr>
              <w:jc w:val="center"/>
            </w:pPr>
            <w:r>
              <w:t>Veicot visaptverošu kartēšanu un plānošanu, noskaidrojiet, kā varētu dekarbonizēt siltumavotus un samazināt pieprasījumu, kā arī, ja iespējams, paplašiniet vai ieviesiet centralizētus siltumapgādes tīklus.</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3D16D6F8" w14:textId="77777777" w:rsidR="00046A23" w:rsidRPr="00BF58CE" w:rsidRDefault="00046A23" w:rsidP="004C6886">
            <w:pPr>
              <w:jc w:val="center"/>
            </w:pPr>
            <w:r>
              <w:t>Iedarbīgākai detoksifikācijai, kas plašā mērogā mazina ar siltumapgādi saistītos toksīnus, apsveriet pieeju, kas tiek īstenota visā pilsētā. Tas nozīmē dekarbonizētu centralizētās siltumapgādes (CSA) risinājumu ieviešanu.</w:t>
            </w:r>
          </w:p>
          <w:p w14:paraId="3041A9F5" w14:textId="77777777" w:rsidR="00046A23" w:rsidRPr="00BF58CE" w:rsidRDefault="00046A23" w:rsidP="004C6886">
            <w:pPr>
              <w:jc w:val="center"/>
            </w:pPr>
            <w:r>
              <w:t xml:space="preserve">CSA paplašināšana, izstrāde un atjaunošana blīvi apdzīvotās pilsētas teritorijās ir iedarbīgākais un ekonomiskākais veids, kā sasniegt zema oglekļa līmeņa enerģijas plašu izmantojumu un uzlabot gaisa kvalitāti, </w:t>
            </w:r>
            <w:r>
              <w:lastRenderedPageBreak/>
              <w:t>vienlaikus parūpējoties par enerģētisko drošību.</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221E8E1" w14:textId="77777777" w:rsidR="00046A23" w:rsidRPr="00BF58CE" w:rsidRDefault="00046A23" w:rsidP="004C6886">
            <w:pPr>
              <w:jc w:val="center"/>
            </w:pPr>
            <w:r>
              <w:lastRenderedPageBreak/>
              <w:t>Atjaunojiet siltumapgādes sistēmu savā pilsētā, aprīkojot centralizētās siltumapgādes tīklus ar tīriem, veselīgiem siltumavotiem, kas ir vispiemērotākie jūsu teritorijai.</w:t>
            </w:r>
          </w:p>
          <w:p w14:paraId="49EFE784" w14:textId="77777777" w:rsidR="00046A23" w:rsidRPr="00BF58CE" w:rsidRDefault="00046A23" w:rsidP="004C6886">
            <w:pPr>
              <w:jc w:val="center"/>
            </w:pPr>
            <w:r>
              <w:t>Plaša mēroga siltumsūkņi, kurus darbina ģeotermālā, saules un atjaunojamo avotu enerģija, ir lieliski jūsu pilsētas siltumapgādes sistēmas atjaunošanas avoti.</w:t>
            </w:r>
          </w:p>
        </w:tc>
      </w:tr>
    </w:tbl>
    <w:p w14:paraId="4F5D95BD" w14:textId="77777777" w:rsidR="00046A23" w:rsidRDefault="00046A23" w:rsidP="00046A23">
      <w:pPr>
        <w:rPr>
          <w:lang w:val="en-US"/>
        </w:rPr>
      </w:pPr>
    </w:p>
    <w:p w14:paraId="534AEC3F" w14:textId="12160284" w:rsidR="005A2121" w:rsidRDefault="005A2121" w:rsidP="005A2121">
      <w:pPr>
        <w:pStyle w:val="Heading2"/>
      </w:pPr>
      <w:r>
        <w:t>Kā izskatās jūsu pilsētas siltumapgādes detoksifikācija?</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14:paraId="335BD7CB" w14:textId="77777777" w:rsidTr="005A2121">
        <w:tc>
          <w:tcPr>
            <w:tcW w:w="9016" w:type="dxa"/>
            <w:gridSpan w:val="3"/>
            <w:shd w:val="clear" w:color="auto" w:fill="F2F2F2" w:themeFill="background1" w:themeFillShade="F2"/>
          </w:tcPr>
          <w:p w14:paraId="2ACA70F3" w14:textId="6CA8D214" w:rsidR="005A2121" w:rsidRPr="005A2121" w:rsidRDefault="005A2121" w:rsidP="005A2121">
            <w:pPr>
              <w:jc w:val="center"/>
              <w:rPr>
                <w:b/>
                <w:bCs/>
              </w:rPr>
            </w:pPr>
            <w:r>
              <w:rPr>
                <w:b/>
              </w:rPr>
              <w:t>Izveidojiet savas pilsētas siltumapgādes detoksifikācijas elementu kombināciju.</w:t>
            </w:r>
          </w:p>
        </w:tc>
      </w:tr>
      <w:tr w:rsidR="005A2121" w14:paraId="26E0ABB6" w14:textId="77777777" w:rsidTr="005A2121">
        <w:tc>
          <w:tcPr>
            <w:tcW w:w="3005" w:type="dxa"/>
            <w:shd w:val="clear" w:color="auto" w:fill="F2F2F2" w:themeFill="background1" w:themeFillShade="F2"/>
          </w:tcPr>
          <w:p w14:paraId="07F3CBAF" w14:textId="77777777" w:rsidR="005A2121" w:rsidRDefault="005A2121" w:rsidP="005A2121">
            <w:r>
              <w:t>Veselīgas siltumapgādes un dzesēšanas pamatelementi</w:t>
            </w:r>
          </w:p>
          <w:p w14:paraId="7510CFF9" w14:textId="77777777" w:rsidR="005A2121" w:rsidRDefault="005A2121" w:rsidP="005A2121">
            <w:pPr>
              <w:pStyle w:val="ListParagraph"/>
              <w:numPr>
                <w:ilvl w:val="0"/>
                <w:numId w:val="7"/>
              </w:numPr>
            </w:pPr>
            <w:r>
              <w:t>Centralizēta siltumapgāde</w:t>
            </w:r>
          </w:p>
          <w:p w14:paraId="3EA3130D" w14:textId="77777777" w:rsidR="005A2121" w:rsidRDefault="005A2121" w:rsidP="005A2121">
            <w:pPr>
              <w:pStyle w:val="ListParagraph"/>
              <w:numPr>
                <w:ilvl w:val="0"/>
                <w:numId w:val="7"/>
              </w:numPr>
            </w:pPr>
            <w:r>
              <w:t>Centralizēta dzesēšana</w:t>
            </w:r>
          </w:p>
          <w:p w14:paraId="65726574" w14:textId="09F685FA" w:rsidR="005A2121" w:rsidRPr="005A2121" w:rsidRDefault="005A2121" w:rsidP="005A2121">
            <w:pPr>
              <w:pStyle w:val="ListParagraph"/>
              <w:numPr>
                <w:ilvl w:val="0"/>
                <w:numId w:val="7"/>
              </w:numPr>
            </w:pPr>
            <w:r>
              <w:t>Siltumsūkņi</w:t>
            </w:r>
          </w:p>
        </w:tc>
        <w:tc>
          <w:tcPr>
            <w:tcW w:w="3005" w:type="dxa"/>
            <w:shd w:val="clear" w:color="auto" w:fill="F2F2F2" w:themeFill="background1" w:themeFillShade="F2"/>
          </w:tcPr>
          <w:p w14:paraId="7DA01504" w14:textId="77777777" w:rsidR="005A2121" w:rsidRDefault="005A2121" w:rsidP="005A2121">
            <w:r>
              <w:t>Veselīgas siltumapgādes un dzesēšanas sastāvdaļas</w:t>
            </w:r>
          </w:p>
          <w:p w14:paraId="1DFA75B4" w14:textId="77777777" w:rsidR="005A2121" w:rsidRDefault="005A2121" w:rsidP="005A2121">
            <w:pPr>
              <w:pStyle w:val="ListParagraph"/>
              <w:numPr>
                <w:ilvl w:val="0"/>
                <w:numId w:val="8"/>
              </w:numPr>
            </w:pPr>
            <w:r>
              <w:t>Ģeotermālā enerģija</w:t>
            </w:r>
          </w:p>
          <w:p w14:paraId="5F015F28" w14:textId="77777777" w:rsidR="005A2121" w:rsidRDefault="005A2121" w:rsidP="005A2121">
            <w:pPr>
              <w:pStyle w:val="ListParagraph"/>
              <w:numPr>
                <w:ilvl w:val="0"/>
                <w:numId w:val="8"/>
              </w:numPr>
            </w:pPr>
            <w:r>
              <w:t>Saules siltumenerģija</w:t>
            </w:r>
          </w:p>
          <w:p w14:paraId="4D8376CA" w14:textId="77777777" w:rsidR="005A2121" w:rsidRDefault="005A2121" w:rsidP="005A2121">
            <w:pPr>
              <w:pStyle w:val="ListParagraph"/>
              <w:numPr>
                <w:ilvl w:val="0"/>
                <w:numId w:val="8"/>
              </w:numPr>
            </w:pPr>
            <w:r>
              <w:t>Atlikumsiltums</w:t>
            </w:r>
          </w:p>
          <w:p w14:paraId="07134E01" w14:textId="77777777" w:rsidR="005A2121" w:rsidRDefault="005A2121" w:rsidP="005A2121">
            <w:pPr>
              <w:pStyle w:val="ListParagraph"/>
              <w:numPr>
                <w:ilvl w:val="0"/>
                <w:numId w:val="8"/>
              </w:numPr>
            </w:pPr>
            <w:r>
              <w:t>Gaiss</w:t>
            </w:r>
          </w:p>
          <w:p w14:paraId="70AB03C1" w14:textId="2458446A" w:rsidR="005A2121" w:rsidRPr="005A2121" w:rsidRDefault="005A2121" w:rsidP="005A2121">
            <w:pPr>
              <w:pStyle w:val="ListParagraph"/>
              <w:numPr>
                <w:ilvl w:val="0"/>
                <w:numId w:val="8"/>
              </w:numPr>
            </w:pPr>
            <w:r>
              <w:t>Ūdens</w:t>
            </w:r>
          </w:p>
        </w:tc>
        <w:tc>
          <w:tcPr>
            <w:tcW w:w="3006" w:type="dxa"/>
            <w:shd w:val="clear" w:color="auto" w:fill="F2F2F2" w:themeFill="background1" w:themeFillShade="F2"/>
          </w:tcPr>
          <w:p w14:paraId="79E07C0B" w14:textId="77777777" w:rsidR="005A2121" w:rsidRDefault="005A2121" w:rsidP="005A2121">
            <w:r>
              <w:t>Papildu elementi</w:t>
            </w:r>
          </w:p>
          <w:p w14:paraId="5D1540AA" w14:textId="77777777" w:rsidR="005A2121" w:rsidRDefault="005A2121" w:rsidP="005A2121">
            <w:pPr>
              <w:pStyle w:val="ListParagraph"/>
              <w:numPr>
                <w:ilvl w:val="0"/>
                <w:numId w:val="8"/>
              </w:numPr>
            </w:pPr>
            <w:r>
              <w:t>Biomasa</w:t>
            </w:r>
          </w:p>
          <w:p w14:paraId="6BBC038A" w14:textId="24333F6F" w:rsidR="005A2121" w:rsidRPr="005A2121" w:rsidRDefault="005A2121" w:rsidP="005A2121">
            <w:pPr>
              <w:pStyle w:val="ListParagraph"/>
              <w:numPr>
                <w:ilvl w:val="0"/>
                <w:numId w:val="8"/>
              </w:numPr>
            </w:pPr>
            <w:r>
              <w:t>Biogāze</w:t>
            </w:r>
          </w:p>
        </w:tc>
      </w:tr>
    </w:tbl>
    <w:p w14:paraId="54466134" w14:textId="77777777" w:rsidR="00046A23" w:rsidRDefault="00046A23" w:rsidP="00046A23">
      <w:pPr>
        <w:rPr>
          <w:lang w:val="en-US"/>
        </w:rPr>
      </w:pPr>
    </w:p>
    <w:p w14:paraId="2B0BF729" w14:textId="77777777" w:rsidR="00046A23" w:rsidRPr="00516C9B" w:rsidRDefault="00046A23" w:rsidP="00046A23">
      <w:pPr>
        <w:pStyle w:val="Heading1"/>
      </w:pPr>
      <w:r>
        <w:t xml:space="preserve">Vēstījums </w:t>
      </w:r>
      <w:r>
        <w:rPr>
          <w:b w:val="0"/>
        </w:rPr>
        <w:t>3. pīlārs</w:t>
      </w:r>
    </w:p>
    <w:p w14:paraId="0515AF9F" w14:textId="77777777" w:rsidR="00046A23" w:rsidRPr="00046A23" w:rsidRDefault="00046A23" w:rsidP="00046A23">
      <w:pPr>
        <w:pStyle w:val="Heading2"/>
      </w:pPr>
      <w:r>
        <w:t>Kas pilsētām nepieciešams, lai detoksificētu siltumapgādi?</w:t>
      </w:r>
    </w:p>
    <w:p w14:paraId="7B2C8FED" w14:textId="1B85F138" w:rsidR="0090324F" w:rsidRDefault="0090324F" w:rsidP="0090324F">
      <w:r>
        <w:t xml:space="preserve">Diemžēl pilsētas visā ES šobrīd saskaras ar nelabvēlīgiem apstākļiem, kas apgrūtina siltumapgādes sekmīgu detoksifikāciju. </w:t>
      </w:r>
      <w:hyperlink r:id="rId14" w:tgtFrame="_blank" w:history="1">
        <w:r>
          <w:rPr>
            <w:rStyle w:val="Hyperlink"/>
          </w:rPr>
          <w:t>ES izsekojamības rīks</w:t>
        </w:r>
      </w:hyperlink>
      <w:r>
        <w:t xml:space="preserve">, kas vērtē vietējās siltumapgādes un dzesēšanas plānošanas stāvokli ES dalībvalstīs, </w:t>
      </w:r>
      <w:r w:rsidR="00994087">
        <w:t>uzskatāmi atklāj</w:t>
      </w:r>
      <w:r>
        <w:t>, ka vairumā valstu nav atbilstošu regulatīvo un atbalsta sistēmu pašvaldībām, lai tās varētu spert pirmo un būtisko detoksifikācijas soli — sastādīt siltumapgādes plānu.  </w:t>
      </w:r>
    </w:p>
    <w:p w14:paraId="21AFB5A7" w14:textId="36C6500A" w:rsidR="00EA1CAB" w:rsidRDefault="00046A23" w:rsidP="0090324F">
      <w:r>
        <w:t xml:space="preserve">Sekmīgai #CitiesHeatDetox īstenošanai pilsētām ir jāparūpējas par dažādām labbūtības dimensijām, lai detoksifikācija būtu visaptveroša un efektīva.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EA1CAB" w14:paraId="0605387D" w14:textId="77777777" w:rsidTr="00337A76">
        <w:tc>
          <w:tcPr>
            <w:tcW w:w="3005" w:type="dxa"/>
            <w:shd w:val="clear" w:color="auto" w:fill="F2F2F2" w:themeFill="background1" w:themeFillShade="F2"/>
          </w:tcPr>
          <w:p w14:paraId="57A324DE" w14:textId="77777777" w:rsidR="00337A76" w:rsidRDefault="00337A76" w:rsidP="00EA1CAB">
            <w:pPr>
              <w:rPr>
                <w:b/>
                <w:bCs/>
              </w:rPr>
            </w:pPr>
          </w:p>
          <w:p w14:paraId="4905ED69" w14:textId="77777777" w:rsidR="008C1A99" w:rsidRDefault="008C1A99" w:rsidP="00EA1CAB">
            <w:pPr>
              <w:rPr>
                <w:b/>
                <w:bCs/>
              </w:rPr>
            </w:pPr>
            <w:r>
              <w:rPr>
                <w:b/>
              </w:rPr>
              <w:t xml:space="preserve">PIEKĻUVE DATIEM </w:t>
            </w:r>
          </w:p>
          <w:p w14:paraId="78A32C1B" w14:textId="6A17D3AE" w:rsidR="00EA1CAB" w:rsidRDefault="008C1A99" w:rsidP="00EA1CAB">
            <w:pPr>
              <w:rPr>
                <w:b/>
                <w:bCs/>
              </w:rPr>
            </w:pPr>
            <w:r>
              <w:rPr>
                <w:b/>
              </w:rPr>
              <w:t>Intelektuālā labbūtība</w:t>
            </w:r>
          </w:p>
          <w:p w14:paraId="22E9CC6E" w14:textId="4CA0FCC7" w:rsidR="008748DB" w:rsidRPr="008748DB" w:rsidRDefault="008748DB" w:rsidP="00EA1CAB">
            <w:pPr>
              <w:rPr>
                <w:i/>
                <w:iCs/>
              </w:rPr>
            </w:pPr>
            <w:r>
              <w:rPr>
                <w:i/>
              </w:rPr>
              <w:t>Intelektuālas un radošas līdzdalības sajūta.</w:t>
            </w:r>
          </w:p>
          <w:p w14:paraId="637FB220" w14:textId="5E1EA0B7" w:rsidR="00EA1CAB" w:rsidRDefault="008748DB" w:rsidP="00EA1CAB">
            <w:r>
              <w:rPr>
                <w:rFonts w:ascii="Source Sans Pro" w:hAnsi="Source Sans Pro"/>
                <w:color w:val="000000" w:themeColor="text1"/>
              </w:rPr>
              <w:t>Piekļuve esošā ēku fonda datubāzei, lai pašvaldība varētu plānot siltumapgādi un zonējumu</w:t>
            </w:r>
          </w:p>
        </w:tc>
        <w:tc>
          <w:tcPr>
            <w:tcW w:w="3005" w:type="dxa"/>
            <w:shd w:val="clear" w:color="auto" w:fill="F2F2F2" w:themeFill="background1" w:themeFillShade="F2"/>
          </w:tcPr>
          <w:p w14:paraId="7307D429" w14:textId="77777777" w:rsidR="00337A76" w:rsidRDefault="00337A76" w:rsidP="00EA1CAB">
            <w:pPr>
              <w:rPr>
                <w:b/>
                <w:bCs/>
              </w:rPr>
            </w:pPr>
          </w:p>
          <w:p w14:paraId="7A5B4DE7" w14:textId="77777777" w:rsidR="008C1A99" w:rsidRDefault="008C1A99" w:rsidP="00EA1CAB">
            <w:pPr>
              <w:rPr>
                <w:b/>
                <w:bCs/>
              </w:rPr>
            </w:pPr>
            <w:r>
              <w:rPr>
                <w:b/>
              </w:rPr>
              <w:t xml:space="preserve">PAŠVALDĪBAS RESURSI </w:t>
            </w:r>
          </w:p>
          <w:p w14:paraId="797285EC" w14:textId="3E09500B" w:rsidR="00EA1CAB" w:rsidRDefault="008C1A99" w:rsidP="00EA1CAB">
            <w:pPr>
              <w:rPr>
                <w:b/>
                <w:bCs/>
              </w:rPr>
            </w:pPr>
            <w:r>
              <w:rPr>
                <w:b/>
              </w:rPr>
              <w:t>Fiziskā labbūtība</w:t>
            </w:r>
          </w:p>
          <w:p w14:paraId="3EE44447" w14:textId="513F2091" w:rsidR="008748DB" w:rsidRPr="008748DB" w:rsidRDefault="0090324F" w:rsidP="00EA1CAB">
            <w:pPr>
              <w:rPr>
                <w:i/>
                <w:iCs/>
              </w:rPr>
            </w:pPr>
            <w:r>
              <w:rPr>
                <w:i/>
              </w:rPr>
              <w:t>Veselīgas un sabalansētas dzīves kvalitātes saglabāšana.</w:t>
            </w:r>
          </w:p>
          <w:p w14:paraId="73896F38" w14:textId="77777777" w:rsidR="00EA1CAB" w:rsidRDefault="00EA1CAB" w:rsidP="00EA1CAB">
            <w:r>
              <w:t>Vietējā kapacitāte un darbinieki, kā arī ilgtermiņa finanšu atbalsts, lai plānotu siltumapgādi, apmācītu jaunus speciālistus un izstrādātu jaunu infrastruktūru, ieteikumi par enerģētiku iedzīvotājiem, tiesībaizsardzības speciālistiem utt.</w:t>
            </w:r>
          </w:p>
          <w:p w14:paraId="10C729D5" w14:textId="77777777" w:rsidR="00EA1CAB" w:rsidRDefault="00EA1CAB" w:rsidP="00EA1CAB">
            <w:r>
              <w:lastRenderedPageBreak/>
              <w:t>#LocalStaff4Climate</w:t>
            </w:r>
          </w:p>
          <w:p w14:paraId="34E15BAE" w14:textId="3FEA0C8B" w:rsidR="008C1A99" w:rsidRDefault="008C1A99" w:rsidP="00EA1CAB">
            <w:r>
              <w:t>#LocalStaff4Heat</w:t>
            </w:r>
          </w:p>
        </w:tc>
        <w:tc>
          <w:tcPr>
            <w:tcW w:w="3006" w:type="dxa"/>
            <w:shd w:val="clear" w:color="auto" w:fill="F2F2F2" w:themeFill="background1" w:themeFillShade="F2"/>
          </w:tcPr>
          <w:p w14:paraId="0D1576DE" w14:textId="77777777" w:rsidR="00337A76" w:rsidRDefault="00337A76" w:rsidP="00EA1CAB">
            <w:pPr>
              <w:rPr>
                <w:b/>
                <w:bCs/>
              </w:rPr>
            </w:pPr>
          </w:p>
          <w:p w14:paraId="66C9FB0E" w14:textId="77777777" w:rsidR="008C1A99" w:rsidRDefault="008C1A99" w:rsidP="00EA1CAB">
            <w:pPr>
              <w:rPr>
                <w:b/>
                <w:bCs/>
              </w:rPr>
            </w:pPr>
            <w:r>
              <w:rPr>
                <w:b/>
              </w:rPr>
              <w:t>LABVĒLĪGS TIESISKAIS REGULĒJUMS</w:t>
            </w:r>
          </w:p>
          <w:p w14:paraId="4BBA5E36" w14:textId="6C8ED83D" w:rsidR="00EA1CAB" w:rsidRDefault="008C1A99" w:rsidP="00EA1CAB">
            <w:pPr>
              <w:rPr>
                <w:b/>
                <w:bCs/>
              </w:rPr>
            </w:pPr>
            <w:r>
              <w:rPr>
                <w:b/>
              </w:rPr>
              <w:t>Vidiskā labbūtība</w:t>
            </w:r>
          </w:p>
          <w:p w14:paraId="3BB589F5" w14:textId="13A0E34E" w:rsidR="008748DB" w:rsidRPr="008748DB" w:rsidRDefault="008748DB" w:rsidP="00EA1CAB">
            <w:pPr>
              <w:rPr>
                <w:i/>
                <w:iCs/>
              </w:rPr>
            </w:pPr>
            <w:r>
              <w:rPr>
                <w:i/>
              </w:rPr>
              <w:t xml:space="preserve">Dzīve drošā un ērtā vidē un kopienā. </w:t>
            </w:r>
          </w:p>
          <w:p w14:paraId="47BC69C6" w14:textId="0673370D" w:rsidR="00EA1CAB" w:rsidRPr="00EA1CAB" w:rsidRDefault="00EA1CAB" w:rsidP="00EA1CAB">
            <w:r>
              <w:t>Juridiskas iespējas panākt enerģētiskā zonējuma ieviešanu un siltumapgādes plānošanas izpildi, piemēram, pienākums pieslēgt centralizēto siltumapgādi</w:t>
            </w:r>
          </w:p>
          <w:p w14:paraId="2232B017" w14:textId="1D4F4E15" w:rsidR="00EA1CAB" w:rsidRDefault="00EA1CAB" w:rsidP="00EA1CAB">
            <w:r>
              <w:t xml:space="preserve">Fosilā kurināma siltumkatlu izmantojuma ierobežošana vai </w:t>
            </w:r>
            <w:r>
              <w:lastRenderedPageBreak/>
              <w:t>aizliegums, tiesību akti, kas veicina mazāku pieprasījumu pēc gāzes</w:t>
            </w:r>
          </w:p>
          <w:p w14:paraId="0D9A300F" w14:textId="77777777" w:rsidR="00EA1CAB" w:rsidRPr="00EA1CAB" w:rsidRDefault="00EA1CAB" w:rsidP="00EA1CAB">
            <w:r>
              <w:t>Pienākuma par ēku pieslēgšanu gāzes tīkliem atcelšana</w:t>
            </w:r>
          </w:p>
          <w:p w14:paraId="4486E4D2" w14:textId="49B6B70D" w:rsidR="00EA1CAB" w:rsidRPr="00EA1CAB" w:rsidRDefault="00EA1CAB" w:rsidP="0090324F">
            <w:r>
              <w:t>Tādu juridisko šķēršļu novēršana, kas kavē vietējā siltumapgādes potenciāla izmantošanu</w:t>
            </w:r>
          </w:p>
        </w:tc>
      </w:tr>
      <w:tr w:rsidR="00EA1CAB" w14:paraId="616DD41E" w14:textId="77777777" w:rsidTr="00337A76">
        <w:tc>
          <w:tcPr>
            <w:tcW w:w="3005" w:type="dxa"/>
            <w:shd w:val="clear" w:color="auto" w:fill="F2F2F2" w:themeFill="background1" w:themeFillShade="F2"/>
          </w:tcPr>
          <w:p w14:paraId="676000D0" w14:textId="77777777" w:rsidR="00337A76" w:rsidRDefault="00337A76" w:rsidP="008748DB">
            <w:pPr>
              <w:rPr>
                <w:b/>
                <w:bCs/>
              </w:rPr>
            </w:pPr>
          </w:p>
          <w:p w14:paraId="0D64842F" w14:textId="77777777" w:rsidR="008C1A99" w:rsidRDefault="008C1A99" w:rsidP="008748DB">
            <w:pPr>
              <w:rPr>
                <w:b/>
                <w:bCs/>
              </w:rPr>
            </w:pPr>
            <w:r>
              <w:rPr>
                <w:b/>
              </w:rPr>
              <w:t xml:space="preserve">TEHNOLOĢISKĀ SKAIDRĪBA </w:t>
            </w:r>
          </w:p>
          <w:p w14:paraId="485F492E" w14:textId="04FEBAC6" w:rsidR="008748DB" w:rsidRDefault="008C1A99" w:rsidP="008748DB">
            <w:pPr>
              <w:rPr>
                <w:b/>
                <w:bCs/>
              </w:rPr>
            </w:pPr>
            <w:r>
              <w:rPr>
                <w:b/>
              </w:rPr>
              <w:t xml:space="preserve">Garīgā labbūtība </w:t>
            </w:r>
          </w:p>
          <w:p w14:paraId="591360CC" w14:textId="1F7C8C59" w:rsidR="008748DB" w:rsidRPr="008748DB" w:rsidRDefault="008748DB" w:rsidP="008748DB">
            <w:pPr>
              <w:rPr>
                <w:b/>
                <w:bCs/>
              </w:rPr>
            </w:pPr>
            <w:r>
              <w:rPr>
                <w:i/>
              </w:rPr>
              <w:t>Sava mērķa un sevis apzināšanās.</w:t>
            </w:r>
          </w:p>
          <w:p w14:paraId="72E95A49" w14:textId="77777777" w:rsidR="00EA1CAB" w:rsidRPr="00EA1CAB" w:rsidRDefault="00EA1CAB" w:rsidP="00EA1CAB">
            <w:r>
              <w:t>Skaidrība par siltumapgādes sistēmām, grafikiem un subsīdiju diferencēšanu, lai radītu investīciju drošību uzņēmumu īpašniekiem, sabiedrisko pakalpojumu uzņēmumiem utt.</w:t>
            </w:r>
          </w:p>
          <w:p w14:paraId="1154D1FA" w14:textId="77777777" w:rsidR="00EA1CAB" w:rsidRPr="00EA1CAB" w:rsidRDefault="00EA1CAB" w:rsidP="00EA1CAB">
            <w:pPr>
              <w:rPr>
                <w:lang w:val="en-US"/>
              </w:rPr>
            </w:pPr>
          </w:p>
        </w:tc>
        <w:tc>
          <w:tcPr>
            <w:tcW w:w="3005" w:type="dxa"/>
            <w:shd w:val="clear" w:color="auto" w:fill="F2F2F2" w:themeFill="background1" w:themeFillShade="F2"/>
          </w:tcPr>
          <w:p w14:paraId="0DC20BE3" w14:textId="77777777" w:rsidR="00337A76" w:rsidRDefault="00337A76" w:rsidP="00EA1CAB">
            <w:pPr>
              <w:rPr>
                <w:b/>
                <w:bCs/>
              </w:rPr>
            </w:pPr>
          </w:p>
          <w:p w14:paraId="7C6E9787" w14:textId="77777777" w:rsidR="008C1A99" w:rsidRDefault="008C1A99" w:rsidP="00EA1CAB">
            <w:pPr>
              <w:rPr>
                <w:b/>
                <w:bCs/>
              </w:rPr>
            </w:pPr>
            <w:r>
              <w:rPr>
                <w:b/>
              </w:rPr>
              <w:t xml:space="preserve">STIMULI UN SUBSĪDIJAS </w:t>
            </w:r>
          </w:p>
          <w:p w14:paraId="427D77B9" w14:textId="7A005E11" w:rsidR="00EA1CAB" w:rsidRDefault="008C1A99" w:rsidP="00EA1CAB">
            <w:pPr>
              <w:rPr>
                <w:b/>
                <w:bCs/>
              </w:rPr>
            </w:pPr>
            <w:r>
              <w:rPr>
                <w:b/>
              </w:rPr>
              <w:t>Finanšu labbūtība</w:t>
            </w:r>
          </w:p>
          <w:p w14:paraId="3E403FD1" w14:textId="17830296" w:rsidR="008748DB" w:rsidRPr="008748DB" w:rsidRDefault="008748DB" w:rsidP="008748DB">
            <w:pPr>
              <w:rPr>
                <w:i/>
                <w:iCs/>
              </w:rPr>
            </w:pPr>
            <w:r>
              <w:rPr>
                <w:i/>
              </w:rPr>
              <w:t>Finanšu stabilitāte un prognozējamība.</w:t>
            </w:r>
          </w:p>
          <w:p w14:paraId="5CD8BE5F" w14:textId="77777777" w:rsidR="00EA1CAB" w:rsidRDefault="00EA1CAB" w:rsidP="00EA1CAB">
            <w:r>
              <w:t>Ekonomiskie stimuli: cenas, nodokļi un subsīdijas ieguldījumu izmaksu amortizēšanai</w:t>
            </w:r>
          </w:p>
          <w:p w14:paraId="037F6E42" w14:textId="2F81C653" w:rsidR="00473389" w:rsidRPr="00473389" w:rsidRDefault="00473389" w:rsidP="00473389">
            <w:r>
              <w:t>Stimuli un finanšu atbalsts vietējā siltumapgādes potenciāla izmantošanai </w:t>
            </w:r>
          </w:p>
          <w:p w14:paraId="7E0830FE" w14:textId="071C3933" w:rsidR="00EA1CAB" w:rsidRPr="00EA1CAB" w:rsidRDefault="00473389" w:rsidP="00337A76">
            <w:r>
              <w:t>Siltumapgādes sistēmu nomaiņas veicināšana, kā arī renovācija</w:t>
            </w:r>
          </w:p>
        </w:tc>
        <w:tc>
          <w:tcPr>
            <w:tcW w:w="3006" w:type="dxa"/>
            <w:shd w:val="clear" w:color="auto" w:fill="F2F2F2" w:themeFill="background1" w:themeFillShade="F2"/>
          </w:tcPr>
          <w:p w14:paraId="2DD5D859" w14:textId="77777777" w:rsidR="00337A76" w:rsidRDefault="00337A76" w:rsidP="00EA1CAB">
            <w:pPr>
              <w:rPr>
                <w:b/>
                <w:bCs/>
              </w:rPr>
            </w:pPr>
          </w:p>
          <w:p w14:paraId="2CFAF64C" w14:textId="77777777" w:rsidR="008C1A99" w:rsidRDefault="008C1A99" w:rsidP="00EA1CAB">
            <w:pPr>
              <w:rPr>
                <w:b/>
                <w:bCs/>
              </w:rPr>
            </w:pPr>
            <w:r>
              <w:rPr>
                <w:b/>
              </w:rPr>
              <w:t xml:space="preserve">SADARBĪBĀ BALSTĪTA TIESISKĀ EKOSISTĒMA </w:t>
            </w:r>
          </w:p>
          <w:p w14:paraId="1F70F7B6" w14:textId="12B4E8BE" w:rsidR="00EA1CAB" w:rsidRDefault="008C1A99" w:rsidP="00EA1CAB">
            <w:pPr>
              <w:rPr>
                <w:b/>
                <w:bCs/>
              </w:rPr>
            </w:pPr>
            <w:r>
              <w:rPr>
                <w:b/>
              </w:rPr>
              <w:t>Sociālā labbūtība</w:t>
            </w:r>
          </w:p>
          <w:p w14:paraId="54C4808E" w14:textId="1D647106" w:rsidR="008748DB" w:rsidRPr="008748DB" w:rsidRDefault="008748DB" w:rsidP="008748DB">
            <w:pPr>
              <w:rPr>
                <w:i/>
                <w:iCs/>
              </w:rPr>
            </w:pPr>
            <w:r>
              <w:rPr>
                <w:i/>
              </w:rPr>
              <w:t>Savstarpējas sasaistes sajūta un jēgpilnu attiecību veidošana.</w:t>
            </w:r>
          </w:p>
          <w:p w14:paraId="24FE4C07" w14:textId="634D3C79" w:rsidR="00EA1CAB" w:rsidRDefault="00EA1CAB" w:rsidP="00EA1CAB">
            <w:r>
              <w:t>Stimuli un skaidras priekšrocības iedzīvotājiem pieslēgties centralizētajai siltumapgādei, ja tā pieejama, un piedalīties siltumapgādes sistēmas pārkārtošanā</w:t>
            </w:r>
          </w:p>
          <w:p w14:paraId="1B4C83ED" w14:textId="66DAB203" w:rsidR="00EA1CAB" w:rsidRPr="00EA1CAB" w:rsidRDefault="00EA1CAB" w:rsidP="008748DB">
            <w:r>
              <w:t>Enerģētikas pakalpojumu uzņēmumu iesaistīšana — no konsultatīvu centru izveides līdz pilsētai piederošiem enerģētikas uzņēmumiem</w:t>
            </w:r>
          </w:p>
        </w:tc>
      </w:tr>
    </w:tbl>
    <w:p w14:paraId="2BBAC60C" w14:textId="77777777" w:rsidR="00EA1CAB" w:rsidRDefault="00EA1CAB" w:rsidP="00EA1CAB"/>
    <w:p w14:paraId="3B7A0271" w14:textId="77777777" w:rsidR="00046A23" w:rsidRPr="00516C9B" w:rsidRDefault="00046A23" w:rsidP="00046A23">
      <w:pPr>
        <w:pStyle w:val="Heading1"/>
      </w:pPr>
      <w:r>
        <w:t>Uzaicinājumi rīkoties</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57788C" w14:paraId="61118D6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52BC8F8D" w14:textId="77777777" w:rsidR="00046A23" w:rsidRPr="0057788C" w:rsidRDefault="00046A23" w:rsidP="004C6886">
            <w:pPr>
              <w:jc w:val="center"/>
            </w:pPr>
            <w:r>
              <w:t>Paudīsim skaidru vēstījumu: veselīga siltumapgāde pilsētās nozīmē veselīgu nākotni Eiropai!</w:t>
            </w:r>
          </w:p>
          <w:p w14:paraId="2A7A9CDA" w14:textId="77777777" w:rsidR="00046A23" w:rsidRDefault="00046A23" w:rsidP="004C6886">
            <w:pPr>
              <w:jc w:val="center"/>
              <w:rPr>
                <w:b/>
                <w:bCs/>
              </w:rPr>
            </w:pPr>
            <w:r>
              <w:rPr>
                <w:b/>
              </w:rPr>
              <w:t>Piesakieties kampaņas jaunumiem.</w:t>
            </w:r>
          </w:p>
          <w:p w14:paraId="68684527" w14:textId="4FF3C49B" w:rsidR="00974AED" w:rsidRPr="00974AED" w:rsidRDefault="00974AED" w:rsidP="004C6886">
            <w:pPr>
              <w:jc w:val="center"/>
              <w:rPr>
                <w:color w:val="0059AA"/>
              </w:rPr>
            </w:pPr>
            <w:r>
              <w:rPr>
                <w:color w:val="0059AA"/>
              </w:rPr>
              <w:t>Saņemiet kampaņas jaunumus un iespējas iesaistīties.</w:t>
            </w:r>
          </w:p>
          <w:p w14:paraId="26DC00A5" w14:textId="5637A52D" w:rsidR="00974AED" w:rsidRPr="00974AED" w:rsidRDefault="003A703A" w:rsidP="004C6886">
            <w:pPr>
              <w:jc w:val="center"/>
            </w:pPr>
            <w:hyperlink r:id="rId15" w:history="1">
              <w:r>
                <w:rPr>
                  <w:rStyle w:val="Hyperlink"/>
                  <w:color w:val="0059AA"/>
                </w:rPr>
                <w:t>Saite uz kampaņas tīmekļa vietni.</w:t>
              </w:r>
            </w:hyperlink>
          </w:p>
        </w:tc>
      </w:tr>
      <w:tr w:rsidR="00046A23" w:rsidRPr="0057788C" w14:paraId="53246E1D"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96ADC51" w14:textId="77777777" w:rsidR="00046A23" w:rsidRPr="0057788C" w:rsidRDefault="00046A23" w:rsidP="004C6886">
            <w:pPr>
              <w:jc w:val="center"/>
            </w:pPr>
            <w:r>
              <w:t>Ļoti vēlaties detoksificēt siltumapgādi savā pilsētā, taču saskaraties ar grūtībām?</w:t>
            </w:r>
          </w:p>
          <w:p w14:paraId="3F237B7E" w14:textId="77777777" w:rsidR="00046A23" w:rsidRDefault="00046A23" w:rsidP="004C6886">
            <w:pPr>
              <w:jc w:val="center"/>
              <w:rPr>
                <w:b/>
                <w:bCs/>
              </w:rPr>
            </w:pPr>
            <w:r>
              <w:rPr>
                <w:b/>
              </w:rPr>
              <w:t>Smelieties iedvesmu.</w:t>
            </w:r>
          </w:p>
          <w:p w14:paraId="13931434" w14:textId="789F6666" w:rsidR="00974AED" w:rsidRPr="007B2D00" w:rsidRDefault="00974AED" w:rsidP="007B2D00">
            <w:pPr>
              <w:jc w:val="center"/>
              <w:rPr>
                <w:color w:val="0059AA"/>
              </w:rPr>
            </w:pPr>
            <w:r>
              <w:rPr>
                <w:color w:val="0059AA"/>
              </w:rPr>
              <w:lastRenderedPageBreak/>
              <w:t xml:space="preserve">Mūsu siltumapgādes detoksifikācijas kartē.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C7ABD46" w14:textId="77777777" w:rsidR="00046A23" w:rsidRPr="0057788C" w:rsidRDefault="00046A23" w:rsidP="004C6886">
            <w:pPr>
              <w:jc w:val="center"/>
            </w:pPr>
            <w:r>
              <w:lastRenderedPageBreak/>
              <w:t>Jau esat uzsākuši siltumapgādes detoksifikāciju savā pilsētā?</w:t>
            </w:r>
          </w:p>
          <w:p w14:paraId="60AB56B9" w14:textId="77777777" w:rsidR="00046A23" w:rsidRDefault="00046A23" w:rsidP="004C6886">
            <w:pPr>
              <w:jc w:val="center"/>
              <w:rPr>
                <w:b/>
                <w:bCs/>
              </w:rPr>
            </w:pPr>
            <w:r>
              <w:rPr>
                <w:b/>
              </w:rPr>
              <w:lastRenderedPageBreak/>
              <w:t>Iepazīstiniet ar savu detoksifikācijas elementu kombināciju.</w:t>
            </w:r>
          </w:p>
          <w:p w14:paraId="5BBBEA9D" w14:textId="771188D2" w:rsidR="00974AED" w:rsidRPr="007B2D00" w:rsidRDefault="00974AED" w:rsidP="007B2D00">
            <w:pPr>
              <w:jc w:val="center"/>
              <w:rPr>
                <w:color w:val="0059AA"/>
              </w:rPr>
            </w:pPr>
            <w:r>
              <w:rPr>
                <w:color w:val="0059AA"/>
              </w:rPr>
              <w:t xml:space="preserve">Detoksifikācijas komunikācijas materiālu kopuma izmantošana. </w:t>
            </w:r>
          </w:p>
        </w:tc>
      </w:tr>
      <w:tr w:rsidR="00046A23" w:rsidRPr="0057788C" w14:paraId="50792864"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7A129A6" w14:textId="77777777" w:rsidR="00046A23" w:rsidRPr="0057788C" w:rsidRDefault="00046A23" w:rsidP="004C6886">
            <w:pPr>
              <w:jc w:val="center"/>
            </w:pPr>
            <w:r>
              <w:lastRenderedPageBreak/>
              <w:t>Kas jūsu pilsētai vajadzīgs, lai sekmīgi īstenotu #CitiesHeatDetox?</w:t>
            </w:r>
          </w:p>
          <w:p w14:paraId="2BB2B687" w14:textId="77777777" w:rsidR="00046A23" w:rsidRDefault="00046A23" w:rsidP="004C6886">
            <w:pPr>
              <w:jc w:val="center"/>
              <w:rPr>
                <w:b/>
                <w:bCs/>
              </w:rPr>
            </w:pPr>
            <w:r>
              <w:rPr>
                <w:b/>
              </w:rPr>
              <w:t>Dalieties savā pieredzē!</w:t>
            </w:r>
          </w:p>
          <w:p w14:paraId="3CC79A59" w14:textId="10CA4BC1" w:rsidR="00974AED" w:rsidRPr="007B2D00" w:rsidRDefault="0071528D" w:rsidP="007B2D00">
            <w:pPr>
              <w:jc w:val="center"/>
              <w:rPr>
                <w:color w:val="0059AA"/>
              </w:rPr>
            </w:pPr>
            <w:r>
              <w:rPr>
                <w:color w:val="0059AA"/>
              </w:rPr>
              <w:t xml:space="preserve">Detoksifikācijas komunikācijas materiālu kopuma izmantošana. </w:t>
            </w:r>
          </w:p>
        </w:tc>
      </w:tr>
    </w:tbl>
    <w:p w14:paraId="0E974FEB" w14:textId="77777777" w:rsidR="003E1EBD" w:rsidRPr="003E1EBD" w:rsidRDefault="003E1EBD" w:rsidP="00046A23">
      <w:pPr>
        <w:pStyle w:val="Heading1"/>
      </w:pPr>
    </w:p>
    <w:sectPr w:rsidR="003E1EBD" w:rsidRPr="003E1EBD"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02A0D" w14:textId="77777777" w:rsidR="00C06DD6" w:rsidRDefault="00C06DD6" w:rsidP="00046A23">
      <w:r>
        <w:separator/>
      </w:r>
    </w:p>
  </w:endnote>
  <w:endnote w:type="continuationSeparator" w:id="0">
    <w:p w14:paraId="1C735B16" w14:textId="77777777" w:rsidR="00C06DD6" w:rsidRDefault="00C06DD6"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AB55" w14:textId="1AA23810" w:rsidR="00E82943" w:rsidRPr="00046A23" w:rsidRDefault="00046A23" w:rsidP="00046A23">
    <w:pPr>
      <w:pStyle w:val="Header"/>
    </w:pPr>
    <w:r>
      <w:rPr>
        <w:b/>
      </w:rPr>
      <w:t>Galvenie vēstījumi</w:t>
    </w:r>
    <w:r>
      <w:t> — Pilsētu mēru pakta 2024.–2025. gada kampaņa</w:t>
    </w:r>
    <w:r>
      <w:tab/>
    </w:r>
    <w:r>
      <w:tab/>
    </w:r>
    <w:r w:rsidR="00201747" w:rsidRPr="00201747">
      <w:rPr>
        <w:color w:val="000000" w:themeColor="text1"/>
      </w:rPr>
      <w:fldChar w:fldCharType="begin"/>
    </w:r>
    <w:r w:rsidR="00201747" w:rsidRPr="00201747">
      <w:rPr>
        <w:color w:val="000000" w:themeColor="text1"/>
      </w:rPr>
      <w:instrText xml:space="preserve"> PAGE  \* Arabic </w:instrText>
    </w:r>
    <w:r w:rsidR="00201747" w:rsidRPr="00201747">
      <w:rPr>
        <w:color w:val="000000" w:themeColor="text1"/>
      </w:rPr>
      <w:fldChar w:fldCharType="separate"/>
    </w:r>
    <w:r w:rsidR="00201747" w:rsidRPr="00201747">
      <w:rPr>
        <w:color w:val="000000" w:themeColor="text1"/>
      </w:rPr>
      <w:t>1</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1B4C0B" w14:textId="77777777" w:rsidR="00C06DD6" w:rsidRDefault="00C06DD6" w:rsidP="00046A23">
      <w:r>
        <w:separator/>
      </w:r>
    </w:p>
  </w:footnote>
  <w:footnote w:type="continuationSeparator" w:id="0">
    <w:p w14:paraId="7BAC6F3C" w14:textId="77777777" w:rsidR="00C06DD6" w:rsidRDefault="00C06DD6"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7CA4" w14:textId="77777777" w:rsidR="00E82943" w:rsidRPr="00E82943" w:rsidRDefault="008A1451" w:rsidP="00046A23">
    <w:pPr>
      <w:pStyle w:val="Header"/>
    </w:pPr>
    <w:r>
      <w:rPr>
        <w:noProof/>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3175035">
    <w:abstractNumId w:val="3"/>
  </w:num>
  <w:num w:numId="2" w16cid:durableId="958955378">
    <w:abstractNumId w:val="0"/>
  </w:num>
  <w:num w:numId="3" w16cid:durableId="1746027342">
    <w:abstractNumId w:val="4"/>
  </w:num>
  <w:num w:numId="4" w16cid:durableId="1995910278">
    <w:abstractNumId w:val="5"/>
  </w:num>
  <w:num w:numId="5" w16cid:durableId="1715350884">
    <w:abstractNumId w:val="6"/>
  </w:num>
  <w:num w:numId="6" w16cid:durableId="106971956">
    <w:abstractNumId w:val="1"/>
  </w:num>
  <w:num w:numId="7" w16cid:durableId="1717771798">
    <w:abstractNumId w:val="7"/>
  </w:num>
  <w:num w:numId="8" w16cid:durableId="847409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23"/>
    <w:rsid w:val="000359E4"/>
    <w:rsid w:val="00046A23"/>
    <w:rsid w:val="000E70B5"/>
    <w:rsid w:val="001617F0"/>
    <w:rsid w:val="00161AFC"/>
    <w:rsid w:val="00184976"/>
    <w:rsid w:val="00201747"/>
    <w:rsid w:val="002148E5"/>
    <w:rsid w:val="002210B7"/>
    <w:rsid w:val="002434A0"/>
    <w:rsid w:val="00270DB3"/>
    <w:rsid w:val="002770E4"/>
    <w:rsid w:val="002D2697"/>
    <w:rsid w:val="00330FF4"/>
    <w:rsid w:val="00337A76"/>
    <w:rsid w:val="003776B5"/>
    <w:rsid w:val="003A703A"/>
    <w:rsid w:val="003B1BD4"/>
    <w:rsid w:val="003E1EBD"/>
    <w:rsid w:val="00463851"/>
    <w:rsid w:val="00473389"/>
    <w:rsid w:val="004C3998"/>
    <w:rsid w:val="005058B8"/>
    <w:rsid w:val="00512F61"/>
    <w:rsid w:val="005A2121"/>
    <w:rsid w:val="005A7E29"/>
    <w:rsid w:val="005B43E6"/>
    <w:rsid w:val="005C74C8"/>
    <w:rsid w:val="005F1B0D"/>
    <w:rsid w:val="00634EF6"/>
    <w:rsid w:val="006609AC"/>
    <w:rsid w:val="006B441F"/>
    <w:rsid w:val="006B70EB"/>
    <w:rsid w:val="006D0942"/>
    <w:rsid w:val="0071528D"/>
    <w:rsid w:val="007849FB"/>
    <w:rsid w:val="007B2D00"/>
    <w:rsid w:val="007D5ED3"/>
    <w:rsid w:val="007F2F1A"/>
    <w:rsid w:val="00806C72"/>
    <w:rsid w:val="00811AE0"/>
    <w:rsid w:val="0085119A"/>
    <w:rsid w:val="008748DB"/>
    <w:rsid w:val="008A1451"/>
    <w:rsid w:val="008C1A99"/>
    <w:rsid w:val="0090324F"/>
    <w:rsid w:val="0092104B"/>
    <w:rsid w:val="009313F9"/>
    <w:rsid w:val="00934CFD"/>
    <w:rsid w:val="00974AED"/>
    <w:rsid w:val="00994087"/>
    <w:rsid w:val="009A5670"/>
    <w:rsid w:val="009A6F4F"/>
    <w:rsid w:val="009C0F06"/>
    <w:rsid w:val="009D2ABB"/>
    <w:rsid w:val="00A22A47"/>
    <w:rsid w:val="00AA1CC1"/>
    <w:rsid w:val="00AA432C"/>
    <w:rsid w:val="00AE2775"/>
    <w:rsid w:val="00B02EC3"/>
    <w:rsid w:val="00C06DD6"/>
    <w:rsid w:val="00C51B7E"/>
    <w:rsid w:val="00C71221"/>
    <w:rsid w:val="00C76FA5"/>
    <w:rsid w:val="00C87839"/>
    <w:rsid w:val="00CA04C0"/>
    <w:rsid w:val="00CB2AD2"/>
    <w:rsid w:val="00CE4518"/>
    <w:rsid w:val="00CE714A"/>
    <w:rsid w:val="00D029E0"/>
    <w:rsid w:val="00D03DBD"/>
    <w:rsid w:val="00D2554D"/>
    <w:rsid w:val="00D3236D"/>
    <w:rsid w:val="00D37FB9"/>
    <w:rsid w:val="00D50904"/>
    <w:rsid w:val="00D76C74"/>
    <w:rsid w:val="00DC2ECB"/>
    <w:rsid w:val="00DD5600"/>
    <w:rsid w:val="00E82943"/>
    <w:rsid w:val="00EA1CAB"/>
    <w:rsid w:val="00EC75A8"/>
    <w:rsid w:val="00F20BF8"/>
    <w:rsid w:val="00F25C4F"/>
    <w:rsid w:val="00F538F6"/>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4EF9"/>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v-LV"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lv-LV"/>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lv-LV"/>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styleId="UnresolvedMention">
    <w:name w:val="Unresolved Mention"/>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756525E0-2E0B-134F-B868-6EB3CD6C252E}">
  <ds:schemaRefs>
    <ds:schemaRef ds:uri="http://schemas.openxmlformats.org/officeDocument/2006/bibliography"/>
  </ds:schemaRefs>
</ds:datastoreItem>
</file>

<file path=customXml/itemProps2.xml><?xml version="1.0" encoding="utf-8"?>
<ds:datastoreItem xmlns:ds="http://schemas.openxmlformats.org/officeDocument/2006/customXml" ds:itemID="{E033EA84-82BD-4C3F-B78E-BE6E5531CD04}"/>
</file>

<file path=customXml/itemProps3.xml><?xml version="1.0" encoding="utf-8"?>
<ds:datastoreItem xmlns:ds="http://schemas.openxmlformats.org/officeDocument/2006/customXml" ds:itemID="{05B27348-4A48-4A17-9B1B-AC342EA59D1D}"/>
</file>

<file path=customXml/itemProps4.xml><?xml version="1.0" encoding="utf-8"?>
<ds:datastoreItem xmlns:ds="http://schemas.openxmlformats.org/officeDocument/2006/customXml" ds:itemID="{703982F4-1AFF-43B1-B164-3D472DEEECCD}"/>
</file>

<file path=docProps/app.xml><?xml version="1.0" encoding="utf-8"?>
<Properties xmlns="http://schemas.openxmlformats.org/officeDocument/2006/extended-properties" xmlns:vt="http://schemas.openxmlformats.org/officeDocument/2006/docPropsVTypes">
  <Template>Normal.dotm</Template>
  <TotalTime>108</TotalTime>
  <Pages>6</Pages>
  <Words>1220</Words>
  <Characters>6955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29</cp:revision>
  <dcterms:created xsi:type="dcterms:W3CDTF">2024-06-07T14:27:00Z</dcterms:created>
  <dcterms:modified xsi:type="dcterms:W3CDTF">2024-08-09T08:09:00Z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