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E82943" w:rsidRPr="003E1EBD" w:rsidRDefault="00EC75A8" w:rsidP="00046A23">
      <w:r>
        <w:rPr>
          <w:noProof/>
        </w:rPr>
        <w:drawing>
          <wp:anchor distT="0" distB="0" distL="114300" distR="114300" simplePos="0" relativeHeight="251659264" behindDoc="0" locked="0" layoutInCell="1" allowOverlap="1" wp14:anchorId="5DE194DB" wp14:editId="2B0F5A75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E82943" w:rsidRPr="003E1EBD" w:rsidRDefault="00EC75A8" w:rsidP="00046A23">
      <w:r>
        <w:rPr>
          <w:noProof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Title"/>
                            </w:pPr>
                            <w:r>
                              <w:t>Mensagens-chave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Heading2"/>
                            </w:pPr>
                            <w:r>
                              <w:t>Campanha para 2024 - 2025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Ttulo"/>
                      </w:pPr>
                      <w:r>
                        <w:t>Mensagens-chave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Ttulo2"/>
                      </w:pPr>
                      <w:r>
                        <w:t>Campanha para 2024 - 2025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2036A29" wp14:editId="33BB1487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7F8665C" w14:textId="076473CC" w:rsidR="00046A23" w:rsidRPr="0049466A" w:rsidRDefault="00046A23" w:rsidP="00046A23">
      <w:pPr>
        <w:pStyle w:val="Heading1"/>
      </w:pPr>
      <w:r>
        <w:rPr>
          <w:rStyle w:val="TitleChar"/>
        </w:rPr>
        <w:lastRenderedPageBreak/>
        <w:t>Resumo</w:t>
      </w:r>
      <w:r w:rsidR="00BF79A8">
        <w:rPr>
          <w:rStyle w:val="TitleChar"/>
        </w:rPr>
        <w:t xml:space="preserve"> da </w:t>
      </w:r>
      <w:r>
        <w:rPr>
          <w:rStyle w:val="TitleChar"/>
          <w:b/>
        </w:rPr>
        <w:t>campanha</w:t>
      </w:r>
      <w:r>
        <w:rPr>
          <w:rStyle w:val="TitleChar"/>
        </w:rPr>
        <w:t xml:space="preserve"> </w:t>
      </w:r>
    </w:p>
    <w:p w14:paraId="1F7BBCF4" w14:textId="77777777" w:rsidR="00046A23" w:rsidRPr="0049466A" w:rsidRDefault="00046A23" w:rsidP="00046A23">
      <w:pPr>
        <w:pStyle w:val="Heading2"/>
      </w:pPr>
      <w:r>
        <w:t>Nome da campanha</w:t>
      </w:r>
    </w:p>
    <w:p w14:paraId="690C94D6" w14:textId="77777777" w:rsidR="00046A23" w:rsidRDefault="00046A23" w:rsidP="00046A23">
      <w:r>
        <w:t>The Cities Heat Detox (Desintoxicação do aquecimento nas cidades)</w:t>
      </w:r>
    </w:p>
    <w:p w14:paraId="22B6B86D" w14:textId="77777777" w:rsidR="00046A23" w:rsidRPr="0049466A" w:rsidRDefault="00046A23" w:rsidP="00046A23">
      <w:pPr>
        <w:pStyle w:val="Heading2"/>
      </w:pPr>
      <w:r>
        <w:t>Tópico da campanha</w:t>
      </w:r>
    </w:p>
    <w:p w14:paraId="56CDE98A" w14:textId="77777777" w:rsidR="00046A23" w:rsidRDefault="00046A23" w:rsidP="00046A23">
      <w:r>
        <w:t>Descarbonização do aquecimento urbano em conformidade com a eliminação progressiva do gás na UE.</w:t>
      </w:r>
    </w:p>
    <w:p w14:paraId="348538F6" w14:textId="77777777" w:rsidR="00046A23" w:rsidRPr="0049466A" w:rsidRDefault="00046A23" w:rsidP="00046A23">
      <w:pPr>
        <w:pStyle w:val="Heading2"/>
      </w:pPr>
      <w:r>
        <w:t>Duração da campanha</w:t>
      </w:r>
    </w:p>
    <w:p w14:paraId="75E7096F" w14:textId="77777777" w:rsidR="00046A23" w:rsidRDefault="00046A23" w:rsidP="00046A23">
      <w:r>
        <w:t>Entre junho de 2024 e junho de 2025</w:t>
      </w:r>
    </w:p>
    <w:p w14:paraId="3B61DFE2" w14:textId="77777777" w:rsidR="00046A23" w:rsidRPr="0049466A" w:rsidRDefault="00046A23" w:rsidP="00046A23">
      <w:pPr>
        <w:pStyle w:val="Heading2"/>
      </w:pPr>
      <w:r>
        <w:t>Vista geral</w:t>
      </w:r>
    </w:p>
    <w:p w14:paraId="34D6C4FB" w14:textId="2080AFDB" w:rsidR="00046A23" w:rsidRDefault="00046A23" w:rsidP="00046A23">
      <w:r>
        <w:t xml:space="preserve">Tendo em conta a iniciativa da UE de eliminação progressiva do gás, esta campanha visa salientar o papel fundamental da descarbonização dos sistemas de aquecimento das cidades </w:t>
      </w:r>
      <w:r w:rsidR="00EC6C08">
        <w:t>com vista a</w:t>
      </w:r>
      <w:r>
        <w:t xml:space="preserve"> alcançar as ambições europeias. Através de um vasto conjunto de atividades, a campanha pretende sensibilizar e capacitar as autoridades locais para abandonarem os combustíveis fósseis, realizando um planeamento global quanto ao aquecimento e adotando o aquecimento urbano coletivo sustentável. Para o efeito, a campanha centrar-se-á nos benefícios comuns da descarbonização do aquecimento nas cidades: um ar mais saudável, uma economia mais moderna e uma maior segurança energética. </w:t>
      </w:r>
    </w:p>
    <w:p w14:paraId="2E4FAFE5" w14:textId="77777777" w:rsidR="00046A23" w:rsidRPr="0049466A" w:rsidRDefault="00046A23" w:rsidP="00046A23">
      <w:pPr>
        <w:pStyle w:val="Heading1"/>
      </w:pPr>
      <w:r>
        <w:rPr>
          <w:rStyle w:val="TitleChar"/>
        </w:rPr>
        <w:t xml:space="preserve">Resumo da </w:t>
      </w:r>
      <w:r>
        <w:rPr>
          <w:rStyle w:val="TitleChar"/>
          <w:b/>
        </w:rPr>
        <w:t>campanha</w:t>
      </w:r>
    </w:p>
    <w:p w14:paraId="421BAE72" w14:textId="1068F182" w:rsidR="00046A23" w:rsidRPr="00046A23" w:rsidRDefault="00046A23" w:rsidP="00046A23">
      <w:pPr>
        <w:pStyle w:val="Heading2"/>
        <w:rPr>
          <w:u w:val="single"/>
        </w:rPr>
      </w:pPr>
      <w:r>
        <w:rPr>
          <w:u w:val="single"/>
        </w:rPr>
        <w:t>Desintoxicação do aquecimento nas cidades</w:t>
      </w:r>
    </w:p>
    <w:p w14:paraId="3B00257A" w14:textId="77777777" w:rsidR="00046A23" w:rsidRPr="00516C9B" w:rsidRDefault="00046A23" w:rsidP="00046A23">
      <w:pPr>
        <w:pStyle w:val="Heading2"/>
      </w:pPr>
      <w:r>
        <w:t>Aquecimento saudável para as cidades</w:t>
      </w:r>
    </w:p>
    <w:p w14:paraId="0FAA9FE7" w14:textId="77777777" w:rsidR="00046A23" w:rsidRPr="00516C9B" w:rsidRDefault="00046A23" w:rsidP="00046A23">
      <w:pPr>
        <w:spacing w:after="0"/>
        <w:rPr>
          <w:color w:val="000000" w:themeColor="text1"/>
        </w:rPr>
      </w:pPr>
      <w:r>
        <w:rPr>
          <w:color w:val="000000" w:themeColor="text1"/>
        </w:rPr>
        <w:t>Para um ar mais limpo, uma economia mais forte e comunidades mais resistentes.</w:t>
      </w:r>
    </w:p>
    <w:p w14:paraId="1FC50795" w14:textId="77777777" w:rsidR="00046A23" w:rsidRPr="00516C9B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516C9B" w:rsidRDefault="00046A23" w:rsidP="00046A23">
      <w:pPr>
        <w:spacing w:after="0"/>
        <w:rPr>
          <w:i/>
          <w:iCs/>
          <w:color w:val="000000" w:themeColor="text1"/>
        </w:rPr>
      </w:pPr>
      <w:r>
        <w:rPr>
          <w:i/>
          <w:color w:val="000000" w:themeColor="text1"/>
        </w:rPr>
        <w:t>#HealthyHeat4Cities #CitiesHeatDetox</w:t>
      </w:r>
    </w:p>
    <w:p w14:paraId="4EF265DF" w14:textId="77777777" w:rsidR="00046A23" w:rsidRDefault="00046A23" w:rsidP="00046A23">
      <w:pPr>
        <w:spacing w:after="0"/>
        <w:rPr>
          <w:lang w:val="en-US"/>
        </w:rPr>
      </w:pPr>
    </w:p>
    <w:p w14:paraId="443AF6E6" w14:textId="77777777" w:rsidR="00046A23" w:rsidRPr="00BF58CE" w:rsidRDefault="00046A23" w:rsidP="00046A23">
      <w:pPr>
        <w:spacing w:after="0"/>
      </w:pPr>
      <w:r>
        <w:t xml:space="preserve">A forma como geramos aquecimento nos dias de hoje, através da queima de combustíveis fósseis, é prejudicial para o nosso ambiente, a nossa saúde e a nossa sociedade. O aquecimento alimentado por combustíveis fósseis, que representa atualmente 72% do aquecimento dos edifícios na Europa, contribui para as alterações climáticas, a insegurança energética e a deterioração da qualidade do ar. Não há dúvida que, para um futuro mais saudável e seguro, as nossas cidades precisam de uma limpeza completa das fontes de calor tóxicas. </w:t>
      </w:r>
    </w:p>
    <w:p w14:paraId="251EBC0F" w14:textId="77777777" w:rsidR="00046A23" w:rsidRPr="00BF58CE" w:rsidRDefault="00046A23" w:rsidP="00046A23">
      <w:pPr>
        <w:spacing w:after="0"/>
      </w:pPr>
    </w:p>
    <w:p w14:paraId="27215182" w14:textId="60ABA585" w:rsidR="00046A23" w:rsidRPr="00BF58CE" w:rsidRDefault="00046A23" w:rsidP="00046A23">
      <w:pPr>
        <w:spacing w:after="0"/>
      </w:pPr>
      <w:r>
        <w:t xml:space="preserve">As cidades têm o potencial de fazer uma grande diferença. Através de um planeamento eficaz do aquecimento e da expansão de soluções coletivas como o aquecimento urbano descarbonizado, </w:t>
      </w:r>
      <w:r w:rsidR="00161A50">
        <w:t>as autoridades</w:t>
      </w:r>
      <w:r>
        <w:t xml:space="preserve"> locais podem eliminar gradualmente o gás no seu aquecimento em grande escala. </w:t>
      </w:r>
    </w:p>
    <w:p w14:paraId="4440BBB2" w14:textId="77777777" w:rsidR="00046A23" w:rsidRPr="00BF58CE" w:rsidRDefault="00046A23" w:rsidP="00046A23">
      <w:pPr>
        <w:spacing w:after="0"/>
      </w:pPr>
    </w:p>
    <w:p w14:paraId="026D82D8" w14:textId="77777777" w:rsidR="00046A23" w:rsidRDefault="00046A23" w:rsidP="00046A23">
      <w:pPr>
        <w:spacing w:after="0"/>
        <w:rPr>
          <w:b/>
          <w:bCs/>
        </w:rPr>
      </w:pPr>
      <w:r>
        <w:rPr>
          <w:b/>
        </w:rPr>
        <w:t xml:space="preserve">Junte-se ao movimento das cidades europeias que estão a desintoxicar o seu aquecimento, optando por um futuro seguro e saudável para todos. </w:t>
      </w:r>
    </w:p>
    <w:p w14:paraId="3E415084" w14:textId="77777777" w:rsidR="00046A23" w:rsidRPr="0049466A" w:rsidRDefault="00046A23" w:rsidP="00046A23"/>
    <w:p w14:paraId="6ABAACB2" w14:textId="77777777" w:rsidR="00046A23" w:rsidRDefault="00046A23" w:rsidP="00046A23">
      <w:pPr>
        <w:spacing w:after="0"/>
        <w:rPr>
          <w:lang w:val="en-US"/>
        </w:rPr>
      </w:pPr>
    </w:p>
    <w:p w14:paraId="16802A38" w14:textId="77777777" w:rsidR="00046A23" w:rsidRDefault="00046A23" w:rsidP="00046A23">
      <w:pPr>
        <w:spacing w:after="0"/>
      </w:pPr>
      <w:r>
        <w:br w:type="page"/>
      </w:r>
    </w:p>
    <w:p w14:paraId="4DE05BFE" w14:textId="77777777" w:rsidR="00046A23" w:rsidRPr="00046A23" w:rsidRDefault="00046A23" w:rsidP="00046A23">
      <w:pPr>
        <w:pStyle w:val="Heading1"/>
      </w:pPr>
      <w:r>
        <w:lastRenderedPageBreak/>
        <w:t xml:space="preserve">Mensagem </w:t>
      </w:r>
      <w:r>
        <w:rPr>
          <w:b w:val="0"/>
        </w:rPr>
        <w:t>Pilar 1</w:t>
      </w:r>
    </w:p>
    <w:p w14:paraId="3335FB36" w14:textId="43A0290A" w:rsidR="00046A23" w:rsidRDefault="00046A23" w:rsidP="00046A23">
      <w:pPr>
        <w:pStyle w:val="Heading2"/>
      </w:pPr>
      <w:r>
        <w:t>Quais são os motivos d</w:t>
      </w:r>
      <w:r w:rsidR="00F959E9">
        <w:t>a</w:t>
      </w:r>
      <w:r>
        <w:t xml:space="preserve"> criação da campanha “</w:t>
      </w:r>
      <w:r w:rsidR="00301E75">
        <w:t>Desintoxicação do aquecimento nas cidades</w:t>
      </w:r>
      <w:r>
        <w:t>”?</w:t>
      </w:r>
    </w:p>
    <w:tbl>
      <w:tblPr>
        <w:tblStyle w:val="TableGrid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BF58CE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Cidades saudáveis</w:t>
            </w:r>
          </w:p>
          <w:p w14:paraId="61762295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Proteger a saúde de uma cidade significa evitar fontes de calor tóxicas.</w:t>
            </w:r>
          </w:p>
          <w:p w14:paraId="0C1986D9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Na luta global contra as alterações climáticas, a desintoxicação do aquecimento nas cidades é um passo essencial para atingir emissões líquidas nulas na Europa até 2050.</w:t>
            </w:r>
          </w:p>
        </w:tc>
      </w:tr>
      <w:tr w:rsidR="00046A23" w:rsidRPr="00BF58CE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Ar mais limpo</w:t>
            </w:r>
          </w:p>
          <w:p w14:paraId="04D5F068" w14:textId="77777777" w:rsidR="00046A23" w:rsidRPr="00BF58CE" w:rsidRDefault="00046A23" w:rsidP="004C6886">
            <w:pPr>
              <w:jc w:val="center"/>
            </w:pPr>
            <w:r>
              <w:t>Melhorar a qualidade do ar e a saúde nas cidades, especialmente nas zonas urbanas densas, protegendo o ambiente da cidade e o bem-estar dos cidadãos.</w:t>
            </w:r>
          </w:p>
          <w:p w14:paraId="1E7479A3" w14:textId="77777777" w:rsidR="00046A23" w:rsidRPr="00BF58CE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Economia mais forte</w:t>
            </w:r>
          </w:p>
          <w:p w14:paraId="29DDD771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Apoiar uma economia mais eficiente do ponto de vista energético, moderna e circular, criando empregos num novo setor.</w:t>
            </w:r>
          </w:p>
          <w:p w14:paraId="3E9EC6D1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Comunidades mais resistentes</w:t>
            </w:r>
          </w:p>
          <w:p w14:paraId="27385150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Garantir a soberania energética e uma transição justa que combata a pobreza energética e atenue os efeitos a longo prazo das alterações climáticas nas comunidades locais.</w:t>
            </w:r>
          </w:p>
        </w:tc>
      </w:tr>
    </w:tbl>
    <w:p w14:paraId="70798C89" w14:textId="77777777" w:rsidR="00046A23" w:rsidRDefault="00046A23" w:rsidP="00046A23">
      <w:pPr>
        <w:spacing w:after="0"/>
        <w:rPr>
          <w:b/>
          <w:bCs/>
        </w:rPr>
      </w:pPr>
    </w:p>
    <w:p w14:paraId="02116147" w14:textId="77777777" w:rsidR="00046A23" w:rsidRDefault="00046A23" w:rsidP="00046A23">
      <w:pPr>
        <w:pStyle w:val="Heading1"/>
      </w:pPr>
      <w:r>
        <w:t xml:space="preserve">Mensagem </w:t>
      </w:r>
      <w:r>
        <w:rPr>
          <w:b w:val="0"/>
        </w:rPr>
        <w:t>Pilar 2</w:t>
      </w:r>
    </w:p>
    <w:p w14:paraId="6FCD9DDB" w14:textId="77777777" w:rsidR="00046A23" w:rsidRDefault="00046A23" w:rsidP="00046A23">
      <w:pPr>
        <w:pStyle w:val="Heading2"/>
      </w:pPr>
      <w:r>
        <w:t>O que é que as cidades podem fazer para desintoxicar o seu aquecimento?</w:t>
      </w:r>
    </w:p>
    <w:tbl>
      <w:tblPr>
        <w:tblStyle w:val="TableGrid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BF58CE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20758E90" w:rsidR="00046A23" w:rsidRPr="00516C9B" w:rsidRDefault="00D22E9E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Nã</w:t>
            </w:r>
            <w:r w:rsidR="00046A23">
              <w:rPr>
                <w:b/>
                <w:color w:val="000000" w:themeColor="text1"/>
              </w:rPr>
              <w:t>o é necessário queimar fontes tóxicas</w:t>
            </w:r>
            <w:r>
              <w:rPr>
                <w:b/>
                <w:color w:val="000000" w:themeColor="text1"/>
              </w:rPr>
              <w:t xml:space="preserve"> para aquecer as cidades.</w:t>
            </w:r>
          </w:p>
          <w:p w14:paraId="0064F0FD" w14:textId="71CA89E3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As cidades podem desintoxicar o </w:t>
            </w:r>
            <w:r w:rsidR="00D22E9E">
              <w:rPr>
                <w:color w:val="000000" w:themeColor="text1"/>
              </w:rPr>
              <w:t xml:space="preserve">seu </w:t>
            </w:r>
            <w:r>
              <w:rPr>
                <w:color w:val="000000" w:themeColor="text1"/>
              </w:rPr>
              <w:t>aquecimento em grande escala através de uma mudança maciça para sistemas de aquecimento mais limpos, modernos e sustentáveis. Eis como isso é possível em três (3) passos.</w:t>
            </w:r>
          </w:p>
        </w:tc>
      </w:tr>
      <w:tr w:rsidR="00046A23" w:rsidRPr="00BF58CE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Conheça o seu tipo de aquecimento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Detox total da cidade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Limpeza do tipo de aquecimento</w:t>
            </w:r>
          </w:p>
        </w:tc>
      </w:tr>
      <w:tr w:rsidR="00046A23" w:rsidRPr="00BF58CE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0FE5AAFB" w:rsidR="00046A23" w:rsidRPr="00BF58CE" w:rsidRDefault="00046A23" w:rsidP="004C6886">
            <w:pPr>
              <w:jc w:val="center"/>
            </w:pPr>
            <w:r>
              <w:t xml:space="preserve">O primeiro passo para qualquer tipo de Detox </w:t>
            </w:r>
            <w:r w:rsidR="00621FE3">
              <w:t>consiste em</w:t>
            </w:r>
            <w:r>
              <w:t xml:space="preserve"> ter uma compreensão clara do seu sistema: as fontes de calor da sua cidade, a procura de aquecimento e as potenciais alternativas.</w:t>
            </w:r>
          </w:p>
          <w:p w14:paraId="6484289C" w14:textId="69EA4B8B" w:rsidR="00046A23" w:rsidRPr="00BF58CE" w:rsidRDefault="00046A23" w:rsidP="004C6886">
            <w:pPr>
              <w:jc w:val="center"/>
            </w:pPr>
            <w:r>
              <w:t xml:space="preserve">Através de um mapeamento e planeamento abrangentes, há que identificar as potenciais </w:t>
            </w:r>
            <w:r w:rsidR="00621FE3">
              <w:t xml:space="preserve">alternativas </w:t>
            </w:r>
            <w:r>
              <w:t xml:space="preserve">para descarbonizar as fontes de calor e reduzir a procura, bem como a possível expansão ou implementação </w:t>
            </w:r>
            <w:r>
              <w:lastRenderedPageBreak/>
              <w:t>de redes coletivas de aquecimento urbano.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77777777" w:rsidR="00046A23" w:rsidRPr="00BF58CE" w:rsidRDefault="00046A23" w:rsidP="004C6886">
            <w:pPr>
              <w:jc w:val="center"/>
            </w:pPr>
            <w:r>
              <w:lastRenderedPageBreak/>
              <w:t>Para um Detox com maior impacto que reduza as toxinas relacionadas com o aquecimento em grande escala, deve ser considerada uma abordagem para toda a cidade. Isto significa adotar soluções de aquecimento urbano coletivo descarbonizado (DHC).</w:t>
            </w:r>
          </w:p>
          <w:p w14:paraId="3041A9F5" w14:textId="77777777" w:rsidR="00046A23" w:rsidRPr="00BF58CE" w:rsidRDefault="00046A23" w:rsidP="004C6886">
            <w:pPr>
              <w:jc w:val="center"/>
            </w:pPr>
            <w:r>
              <w:t xml:space="preserve">A expansão, o desenvolvimento e a renovação do DHC em zonas urbanas densas é a forma mais eficaz e económica de conseguir uma utilização em grande escala da energia com baixo </w:t>
            </w:r>
            <w:r>
              <w:lastRenderedPageBreak/>
              <w:t>teor de carbono e de melhorar a qualidade do ar, garantindo simultaneamente a segurança energética.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77777777" w:rsidR="00046A23" w:rsidRPr="00BF58CE" w:rsidRDefault="00046A23" w:rsidP="004C6886">
            <w:pPr>
              <w:jc w:val="center"/>
            </w:pPr>
            <w:r>
              <w:lastRenderedPageBreak/>
              <w:t>Rejuvenesça o sistema de aquecimento da sua cidade, alimentando as suas redes de aquecimento urbano com fontes de calor limpas e saudáveis, mais adaptadas ao seu território.</w:t>
            </w:r>
          </w:p>
          <w:p w14:paraId="49EFE784" w14:textId="2BAF98D9" w:rsidR="00046A23" w:rsidRPr="00BF58CE" w:rsidRDefault="00046A23" w:rsidP="004C6886">
            <w:pPr>
              <w:jc w:val="center"/>
            </w:pPr>
            <w:r>
              <w:t xml:space="preserve">A </w:t>
            </w:r>
            <w:r w:rsidR="00943358">
              <w:t xml:space="preserve">energia </w:t>
            </w:r>
            <w:r>
              <w:t>geot</w:t>
            </w:r>
            <w:r w:rsidR="00943358">
              <w:t>érmica</w:t>
            </w:r>
            <w:r>
              <w:t xml:space="preserve">, o calor solar e as bombas de calor de grande escala alimentadas por energias renováveis são ótimas fontes para </w:t>
            </w:r>
            <w:r>
              <w:lastRenderedPageBreak/>
              <w:t>rejuvenescer o sistema de aquecimento da sua cidade.</w:t>
            </w:r>
          </w:p>
        </w:tc>
      </w:tr>
    </w:tbl>
    <w:p w14:paraId="4F5D95BD" w14:textId="77777777" w:rsidR="00046A23" w:rsidRDefault="00046A23" w:rsidP="00046A23">
      <w:pPr>
        <w:rPr>
          <w:lang w:val="en-US"/>
        </w:rPr>
      </w:pPr>
    </w:p>
    <w:p w14:paraId="534AEC3F" w14:textId="12160284" w:rsidR="005A2121" w:rsidRDefault="005A2121" w:rsidP="005A2121">
      <w:pPr>
        <w:pStyle w:val="Heading2"/>
      </w:pPr>
      <w:r>
        <w:t>Qual é o tipo de Detox térmico da sua cidade?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6CA8D214" w:rsidR="005A2121" w:rsidRPr="005A2121" w:rsidRDefault="005A2121" w:rsidP="005A212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Crie a mistura de Detox térmico da sua cidade.</w:t>
            </w:r>
          </w:p>
        </w:tc>
      </w:tr>
      <w:tr w:rsidR="005A2121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Default="005A2121" w:rsidP="005A2121">
            <w:r>
              <w:t>Bases para um aquecimento e arrefecimento saudáveis</w:t>
            </w:r>
          </w:p>
          <w:p w14:paraId="7510CFF9" w14:textId="77777777" w:rsidR="005A2121" w:rsidRDefault="005A2121" w:rsidP="005A2121">
            <w:pPr>
              <w:pStyle w:val="ListParagraph"/>
              <w:numPr>
                <w:ilvl w:val="0"/>
                <w:numId w:val="7"/>
              </w:numPr>
            </w:pPr>
            <w:r>
              <w:t>Aquecimento urbano</w:t>
            </w:r>
          </w:p>
          <w:p w14:paraId="3EA3130D" w14:textId="77777777" w:rsidR="005A2121" w:rsidRDefault="005A2121" w:rsidP="005A2121">
            <w:pPr>
              <w:pStyle w:val="ListParagraph"/>
              <w:numPr>
                <w:ilvl w:val="0"/>
                <w:numId w:val="7"/>
              </w:numPr>
            </w:pPr>
            <w:r>
              <w:t>Arrefecimento urbano</w:t>
            </w:r>
          </w:p>
          <w:p w14:paraId="65726574" w14:textId="09F685FA" w:rsidR="005A2121" w:rsidRPr="005A2121" w:rsidRDefault="005A2121" w:rsidP="005A2121">
            <w:pPr>
              <w:pStyle w:val="ListParagraph"/>
              <w:numPr>
                <w:ilvl w:val="0"/>
                <w:numId w:val="7"/>
              </w:numPr>
            </w:pPr>
            <w:r>
              <w:t>Bombas de calor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Default="005A2121" w:rsidP="005A2121">
            <w:r>
              <w:t>Ingredientes para um aquecimento e arrefecimento saudáveis</w:t>
            </w:r>
          </w:p>
          <w:p w14:paraId="1DFA75B4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Energia geotérmica</w:t>
            </w:r>
          </w:p>
          <w:p w14:paraId="5F015F28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Energia heliotérmica</w:t>
            </w:r>
          </w:p>
          <w:p w14:paraId="4D8376CA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Calor residual</w:t>
            </w:r>
          </w:p>
          <w:p w14:paraId="07134E01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Fonte de ar</w:t>
            </w:r>
          </w:p>
          <w:p w14:paraId="70AB03C1" w14:textId="2458446A" w:rsidR="005A2121" w:rsidRP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Fonte de água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A2121" w:rsidRDefault="005A2121" w:rsidP="005A2121">
            <w:r>
              <w:t>Suplementos</w:t>
            </w:r>
          </w:p>
          <w:p w14:paraId="5D1540AA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Biomassa</w:t>
            </w:r>
          </w:p>
          <w:p w14:paraId="6BBC038A" w14:textId="24333F6F" w:rsidR="005A2121" w:rsidRP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Biogás</w:t>
            </w:r>
          </w:p>
        </w:tc>
      </w:tr>
    </w:tbl>
    <w:p w14:paraId="54466134" w14:textId="77777777" w:rsidR="00046A23" w:rsidRDefault="00046A23" w:rsidP="00046A23">
      <w:pPr>
        <w:rPr>
          <w:lang w:val="en-US"/>
        </w:rPr>
      </w:pPr>
    </w:p>
    <w:p w14:paraId="2B0BF729" w14:textId="77777777" w:rsidR="00046A23" w:rsidRPr="00516C9B" w:rsidRDefault="00046A23" w:rsidP="00046A23">
      <w:pPr>
        <w:pStyle w:val="Heading1"/>
      </w:pPr>
      <w:r>
        <w:t xml:space="preserve">Mensagem </w:t>
      </w:r>
      <w:r>
        <w:rPr>
          <w:b w:val="0"/>
        </w:rPr>
        <w:t>Pilar 3</w:t>
      </w:r>
    </w:p>
    <w:p w14:paraId="0515AF9F" w14:textId="77777777" w:rsidR="00046A23" w:rsidRPr="00046A23" w:rsidRDefault="00046A23" w:rsidP="00046A23">
      <w:pPr>
        <w:pStyle w:val="Heading2"/>
      </w:pPr>
      <w:r>
        <w:t>O que é que as cidades precisam para executar o Detox térmico?</w:t>
      </w:r>
    </w:p>
    <w:p w14:paraId="7B2C8FED" w14:textId="75B83FD2" w:rsidR="0090324F" w:rsidRDefault="0090324F" w:rsidP="0090324F">
      <w:r>
        <w:t xml:space="preserve">Infelizmente, as cidades de toda a UE debatem-se atualmente com condições hostis para executar um Detox térmico com sucesso. Um </w:t>
      </w:r>
      <w:hyperlink r:id="rId14" w:tgtFrame="_blank" w:history="1">
        <w:r>
          <w:rPr>
            <w:rStyle w:val="Hyperlink"/>
          </w:rPr>
          <w:t>rastreador da UE</w:t>
        </w:r>
      </w:hyperlink>
      <w:r>
        <w:t xml:space="preserve"> que avalia a situação do planeamento local quanto ao aquecimento e arrefecimento nos Estados</w:t>
      </w:r>
      <w:r w:rsidR="00764445">
        <w:t xml:space="preserve"> </w:t>
      </w:r>
      <w:r>
        <w:t>Membros da UE sublinha que a maioria dos países não dispõe de quadros regulamentares e de apoio adequados para que os municípios deem início a esta primeira e essencial etapa do seu Detox: o plano de aquecimento.  </w:t>
      </w:r>
    </w:p>
    <w:p w14:paraId="21AFB5A7" w14:textId="36C6500A" w:rsidR="00EA1CAB" w:rsidRDefault="00046A23" w:rsidP="0090324F">
      <w:r>
        <w:t xml:space="preserve">Para que o #CitiesHeatDetox tenha sucesso, as cidades precisam de explorar diferentes dimensões do bem-estar, para um Detox holístico e eficaz.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Default="00337A76" w:rsidP="00EA1CAB">
            <w:pPr>
              <w:rPr>
                <w:b/>
                <w:bCs/>
              </w:rPr>
            </w:pPr>
          </w:p>
          <w:p w14:paraId="4905ED69" w14:textId="71D134C0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ACESSO A DADOS </w:t>
            </w:r>
          </w:p>
          <w:p w14:paraId="78A32C1B" w14:textId="6A17D3AE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Bem-estar intelectual</w:t>
            </w:r>
          </w:p>
          <w:p w14:paraId="22E9CC6E" w14:textId="4496780A" w:rsidR="008748DB" w:rsidRPr="008748DB" w:rsidRDefault="008748DB" w:rsidP="00EA1CAB">
            <w:pPr>
              <w:rPr>
                <w:i/>
                <w:iCs/>
              </w:rPr>
            </w:pPr>
            <w:r>
              <w:rPr>
                <w:i/>
              </w:rPr>
              <w:t>Sentir-se mental e criativamente empenhado</w:t>
            </w:r>
            <w:r w:rsidR="00AE0733">
              <w:rPr>
                <w:i/>
              </w:rPr>
              <w:t>(a)</w:t>
            </w:r>
            <w:r>
              <w:rPr>
                <w:i/>
              </w:rPr>
              <w:t>.</w:t>
            </w:r>
          </w:p>
          <w:p w14:paraId="637FB220" w14:textId="5E1EA0B7" w:rsidR="00EA1CAB" w:rsidRDefault="008748DB" w:rsidP="00EA1CAB">
            <w:r>
              <w:rPr>
                <w:rFonts w:ascii="Source Sans Pro" w:hAnsi="Source Sans Pro"/>
                <w:color w:val="000000" w:themeColor="text1"/>
              </w:rPr>
              <w:t>Acesso a uma base de dados do parque imobiliário existente para o planeamento térmico e o zonamento dos municípios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RECURSOS MUNICIPAIS </w:t>
            </w:r>
          </w:p>
          <w:p w14:paraId="797285EC" w14:textId="3E09500B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Bem-estar físico</w:t>
            </w:r>
          </w:p>
          <w:p w14:paraId="3EE44447" w14:textId="513F2091" w:rsidR="008748DB" w:rsidRPr="008748DB" w:rsidRDefault="0090324F" w:rsidP="00EA1CAB">
            <w:pPr>
              <w:rPr>
                <w:i/>
                <w:iCs/>
              </w:rPr>
            </w:pPr>
            <w:r>
              <w:rPr>
                <w:i/>
              </w:rPr>
              <w:t>Manter uma qualidade de vida saudável e equilibrada.</w:t>
            </w:r>
          </w:p>
          <w:p w14:paraId="73896F38" w14:textId="77777777" w:rsidR="00EA1CAB" w:rsidRDefault="00EA1CAB" w:rsidP="00EA1CAB">
            <w:r>
              <w:t xml:space="preserve">Capacidade local, pessoal e apoio financeiro a longo prazo para realizar o planeamento térmico, a formação de novos profissionais e o desenvolvimento de novas </w:t>
            </w:r>
            <w:r>
              <w:lastRenderedPageBreak/>
              <w:t>infraestruturas, o aconselhamento energético aos cidadãos, a aplicação da lei, etc.</w:t>
            </w:r>
          </w:p>
          <w:p w14:paraId="10C729D5" w14:textId="77777777" w:rsidR="00EA1CAB" w:rsidRDefault="00EA1CAB" w:rsidP="00EA1CAB">
            <w:r>
              <w:t>#LocalStaff4Climate</w:t>
            </w:r>
          </w:p>
          <w:p w14:paraId="34E15BAE" w14:textId="3FEA0C8B" w:rsidR="008C1A99" w:rsidRDefault="008C1A99" w:rsidP="00EA1CAB">
            <w:r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QUADRO JURÍDICO FAVORÁVEL</w:t>
            </w:r>
          </w:p>
          <w:p w14:paraId="4BBA5E36" w14:textId="6C8ED83D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Bem-estar ambiental</w:t>
            </w:r>
          </w:p>
          <w:p w14:paraId="3BB589F5" w14:textId="13A0E34E" w:rsidR="008748DB" w:rsidRPr="008748DB" w:rsidRDefault="008748DB" w:rsidP="00EA1CAB">
            <w:pPr>
              <w:rPr>
                <w:i/>
                <w:iCs/>
              </w:rPr>
            </w:pPr>
            <w:r>
              <w:rPr>
                <w:i/>
              </w:rPr>
              <w:t xml:space="preserve">Viver num ambiente e numa comunidade seguros e confortáveis. </w:t>
            </w:r>
          </w:p>
          <w:p w14:paraId="47BC69C6" w14:textId="0673370D" w:rsidR="00EA1CAB" w:rsidRPr="00EA1CAB" w:rsidRDefault="00EA1CAB" w:rsidP="00EA1CAB">
            <w:r>
              <w:t xml:space="preserve">Possibilidades jurídicas para aplicar o zonamento energético e o planeamento térmico, como a </w:t>
            </w:r>
            <w:r>
              <w:lastRenderedPageBreak/>
              <w:t>obrigação de ligação ao aquecimento urbano</w:t>
            </w:r>
          </w:p>
          <w:p w14:paraId="2232B017" w14:textId="1D4F4E15" w:rsidR="00EA1CAB" w:rsidRDefault="00EA1CAB" w:rsidP="00EA1CAB">
            <w:r>
              <w:t>Restrição ou proibição de caldeiras a combustíveis fósseis, legislação de apoio para reduzir a procura de gás</w:t>
            </w:r>
          </w:p>
          <w:p w14:paraId="0D9A300F" w14:textId="77777777" w:rsidR="00EA1CAB" w:rsidRPr="00EA1CAB" w:rsidRDefault="00EA1CAB" w:rsidP="00EA1CAB">
            <w:r>
              <w:t>Supressão das obrigações de ligação dos edifícios às redes de gás</w:t>
            </w:r>
          </w:p>
          <w:p w14:paraId="4486E4D2" w14:textId="49B6B70D" w:rsidR="00EA1CAB" w:rsidRPr="00EA1CAB" w:rsidRDefault="00EA1CAB" w:rsidP="0090324F">
            <w:r>
              <w:t>Eliminação dos obstáculos jurídicos à exploração de potenciais fontes de calor locais</w:t>
            </w:r>
          </w:p>
        </w:tc>
      </w:tr>
      <w:tr w:rsidR="00EA1CAB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Default="008C1A99" w:rsidP="008748DB">
            <w:pPr>
              <w:rPr>
                <w:b/>
                <w:bCs/>
              </w:rPr>
            </w:pPr>
            <w:r>
              <w:rPr>
                <w:b/>
              </w:rPr>
              <w:t xml:space="preserve">CLAREZA TECNOLÓGICA </w:t>
            </w:r>
          </w:p>
          <w:p w14:paraId="485F492E" w14:textId="04FEBAC6" w:rsidR="008748DB" w:rsidRDefault="008C1A99" w:rsidP="008748DB">
            <w:pPr>
              <w:rPr>
                <w:b/>
                <w:bCs/>
              </w:rPr>
            </w:pPr>
            <w:r>
              <w:rPr>
                <w:b/>
              </w:rPr>
              <w:t xml:space="preserve">Bem-estar espiritual </w:t>
            </w:r>
          </w:p>
          <w:p w14:paraId="591360CC" w14:textId="1F7C8C59" w:rsidR="008748DB" w:rsidRPr="008748DB" w:rsidRDefault="008748DB" w:rsidP="008748DB">
            <w:pPr>
              <w:rPr>
                <w:b/>
                <w:bCs/>
              </w:rPr>
            </w:pPr>
            <w:r>
              <w:rPr>
                <w:i/>
              </w:rPr>
              <w:t>Ter um objetivo e um sentido de autoconsciência.</w:t>
            </w:r>
          </w:p>
          <w:p w14:paraId="72E95A49" w14:textId="77777777" w:rsidR="00EA1CAB" w:rsidRPr="00EA1CAB" w:rsidRDefault="00EA1CAB" w:rsidP="00EA1CAB">
            <w:r>
              <w:t>Clareza sobre os sistemas de aquecimento, os prazos e a diferenciação dos subsídios, para garantir a segurança dos investimentos dos empresários, dos serviços públicos, etc.</w:t>
            </w:r>
          </w:p>
          <w:p w14:paraId="1154D1FA" w14:textId="77777777" w:rsidR="00EA1CAB" w:rsidRPr="00EA1CAB" w:rsidRDefault="00EA1CAB" w:rsidP="00EA1CAB">
            <w:pPr>
              <w:rPr>
                <w:lang w:val="en-US"/>
              </w:rPr>
            </w:pPr>
          </w:p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INCENTIVOS E SUBSÍDIOS </w:t>
            </w:r>
          </w:p>
          <w:p w14:paraId="427D77B9" w14:textId="7A005E11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Bem-estar financeiro</w:t>
            </w:r>
          </w:p>
          <w:p w14:paraId="3E403FD1" w14:textId="17830296" w:rsidR="008748DB" w:rsidRPr="008748DB" w:rsidRDefault="008748DB" w:rsidP="008748DB">
            <w:pPr>
              <w:rPr>
                <w:i/>
                <w:iCs/>
              </w:rPr>
            </w:pPr>
            <w:r>
              <w:rPr>
                <w:i/>
              </w:rPr>
              <w:t>Ter estabilidade financeira e visão de futuro.</w:t>
            </w:r>
          </w:p>
          <w:p w14:paraId="5CD8BE5F" w14:textId="77777777" w:rsidR="00EA1CAB" w:rsidRDefault="00EA1CAB" w:rsidP="00EA1CAB">
            <w:r>
              <w:t>Incentivos económicos: preços, impostos e subsídios para amortecer os custos de investimento</w:t>
            </w:r>
          </w:p>
          <w:p w14:paraId="037F6E42" w14:textId="2F81C653" w:rsidR="00473389" w:rsidRPr="00473389" w:rsidRDefault="00473389" w:rsidP="00473389">
            <w:r>
              <w:t>Incentivos e apoio financeiro para a exploração de potenciais fontes de calor locais </w:t>
            </w:r>
          </w:p>
          <w:p w14:paraId="7E0830FE" w14:textId="071C3933" w:rsidR="00EA1CAB" w:rsidRPr="00EA1CAB" w:rsidRDefault="00473389" w:rsidP="00337A76">
            <w:r>
              <w:t>Incentivar a troca de sistemas de aquecimento em combinação com a renovação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ECOSSISTEMA JURÍDICO COOPERATIVO </w:t>
            </w:r>
          </w:p>
          <w:p w14:paraId="1F70F7B6" w14:textId="12B4E8BE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Bem-estar social</w:t>
            </w:r>
          </w:p>
          <w:p w14:paraId="54C4808E" w14:textId="6B4CECFF" w:rsidR="008748DB" w:rsidRPr="008748DB" w:rsidRDefault="008748DB" w:rsidP="008748DB">
            <w:pPr>
              <w:rPr>
                <w:i/>
                <w:iCs/>
              </w:rPr>
            </w:pPr>
            <w:r>
              <w:rPr>
                <w:i/>
              </w:rPr>
              <w:t>Sentir-se ligado</w:t>
            </w:r>
            <w:r w:rsidR="004C2EC9">
              <w:rPr>
                <w:i/>
              </w:rPr>
              <w:t>(a)</w:t>
            </w:r>
            <w:r>
              <w:rPr>
                <w:i/>
              </w:rPr>
              <w:t xml:space="preserve"> e cultivar relações significativas.</w:t>
            </w:r>
          </w:p>
          <w:p w14:paraId="24FE4C07" w14:textId="634D3C79" w:rsidR="00EA1CAB" w:rsidRDefault="00EA1CAB" w:rsidP="00EA1CAB">
            <w:r>
              <w:t>Incentivos e benefícios claros para que os cidadãos se liguem ao aquecimento urbano, quando disponível, e participem na transição térmica</w:t>
            </w:r>
          </w:p>
          <w:p w14:paraId="1B4C83ED" w14:textId="66DAB203" w:rsidR="00EA1CAB" w:rsidRPr="00EA1CAB" w:rsidRDefault="00EA1CAB" w:rsidP="008748DB">
            <w:r>
              <w:t>Potenciar as empresas de serviços energéticos, desde o desenvolvimento de gabinetes de aconselhamento até à colaboração com empresas energéticas municipais</w:t>
            </w:r>
          </w:p>
        </w:tc>
      </w:tr>
    </w:tbl>
    <w:p w14:paraId="2BBAC60C" w14:textId="77777777" w:rsidR="00EA1CAB" w:rsidRDefault="00EA1CAB" w:rsidP="00EA1CAB"/>
    <w:p w14:paraId="3B7A0271" w14:textId="77777777" w:rsidR="00046A23" w:rsidRPr="00516C9B" w:rsidRDefault="00046A23" w:rsidP="00046A23">
      <w:pPr>
        <w:pStyle w:val="Heading1"/>
      </w:pPr>
      <w:r>
        <w:t>Apelos à ação</w:t>
      </w:r>
    </w:p>
    <w:tbl>
      <w:tblPr>
        <w:tblStyle w:val="TableGrid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57788C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1AA68BE8" w:rsidR="00046A23" w:rsidRPr="0057788C" w:rsidRDefault="004B0CBC" w:rsidP="004C6886">
            <w:pPr>
              <w:jc w:val="center"/>
            </w:pPr>
            <w:r>
              <w:t>Dizemo-lo</w:t>
            </w:r>
            <w:r w:rsidR="00046A23">
              <w:t xml:space="preserve"> </w:t>
            </w:r>
            <w:r w:rsidR="004D39A1">
              <w:t>claramente</w:t>
            </w:r>
            <w:r w:rsidR="00046A23">
              <w:t xml:space="preserve">: </w:t>
            </w:r>
            <w:r>
              <w:t>u</w:t>
            </w:r>
            <w:r w:rsidR="00046A23">
              <w:t>m aquecimento saudável nas cidades significa um futuro saudável para a Europa!</w:t>
            </w:r>
          </w:p>
          <w:p w14:paraId="2A7A9CDA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Subscrever a campanha.</w:t>
            </w:r>
          </w:p>
          <w:p w14:paraId="68684527" w14:textId="4FF3C49B" w:rsidR="00974AED" w:rsidRPr="00974AED" w:rsidRDefault="00974AED" w:rsidP="004C6886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>Receber atualizações da campanha e oportunidades de participação.</w:t>
            </w:r>
          </w:p>
          <w:p w14:paraId="26DC00A5" w14:textId="5637A52D" w:rsidR="00974AED" w:rsidRPr="00974AED" w:rsidRDefault="00301E75" w:rsidP="004C6886">
            <w:pPr>
              <w:jc w:val="center"/>
            </w:pPr>
            <w:hyperlink r:id="rId15" w:history="1">
              <w:r w:rsidR="001F4E8C">
                <w:rPr>
                  <w:rStyle w:val="Hyperlink"/>
                  <w:color w:val="0059AA"/>
                </w:rPr>
                <w:t>Ligação à página Web da campanha.</w:t>
              </w:r>
            </w:hyperlink>
          </w:p>
        </w:tc>
      </w:tr>
      <w:tr w:rsidR="00046A23" w:rsidRPr="0057788C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77777777" w:rsidR="00046A23" w:rsidRPr="0057788C" w:rsidRDefault="00046A23" w:rsidP="004C6886">
            <w:pPr>
              <w:jc w:val="center"/>
            </w:pPr>
            <w:r>
              <w:lastRenderedPageBreak/>
              <w:t>Está interessado(a), mas tem dificuldades em executar um Detox no aquecimento da sua cidade?</w:t>
            </w:r>
          </w:p>
          <w:p w14:paraId="3F237B7E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Encontre inspiração.</w:t>
            </w:r>
          </w:p>
          <w:p w14:paraId="13931434" w14:textId="789F6666" w:rsidR="00974AED" w:rsidRPr="007B2D00" w:rsidRDefault="00974AE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No nosso Mapa de Detox de Aquecimento.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77777777" w:rsidR="00046A23" w:rsidRPr="0057788C" w:rsidRDefault="00046A23" w:rsidP="004C6886">
            <w:pPr>
              <w:jc w:val="center"/>
            </w:pPr>
            <w:r>
              <w:t>Já está a implementar soluções de Detox de aquecimento na sua cidade?</w:t>
            </w:r>
          </w:p>
          <w:p w14:paraId="60AB56B9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Apresente o seu Detox Mix.</w:t>
            </w:r>
          </w:p>
          <w:p w14:paraId="5BBBEA9D" w14:textId="771188D2" w:rsidR="00974AED" w:rsidRPr="007B2D00" w:rsidRDefault="00974AE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Utilize o pacote de comunicações Detox. </w:t>
            </w:r>
          </w:p>
        </w:tc>
      </w:tr>
      <w:tr w:rsidR="00046A23" w:rsidRPr="0057788C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08A79F55" w:rsidR="00046A23" w:rsidRPr="0057788C" w:rsidRDefault="00046A23" w:rsidP="004C6886">
            <w:pPr>
              <w:jc w:val="center"/>
            </w:pPr>
            <w:r>
              <w:t xml:space="preserve">O que é que a sua cidade precisa para um #CitiesHeatDetox </w:t>
            </w:r>
            <w:r w:rsidR="001F4E8C">
              <w:t>bem-sucedido</w:t>
            </w:r>
            <w:r>
              <w:t>?</w:t>
            </w:r>
          </w:p>
          <w:p w14:paraId="2BB2B687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Partilhe a sua história!</w:t>
            </w:r>
          </w:p>
          <w:p w14:paraId="3CC79A59" w14:textId="10CA4BC1" w:rsidR="00974AED" w:rsidRPr="007B2D00" w:rsidRDefault="0071528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Utilize o pacote de comunicações Detox. </w:t>
            </w:r>
          </w:p>
        </w:tc>
      </w:tr>
    </w:tbl>
    <w:p w14:paraId="0E974FEB" w14:textId="77777777" w:rsidR="003E1EBD" w:rsidRPr="003E1EBD" w:rsidRDefault="003E1EBD" w:rsidP="00046A23">
      <w:pPr>
        <w:pStyle w:val="Heading1"/>
      </w:pPr>
    </w:p>
    <w:sectPr w:rsidR="003E1EBD" w:rsidRPr="003E1EBD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54005" w14:textId="77777777" w:rsidR="00512F61" w:rsidRDefault="00512F61" w:rsidP="00046A23">
      <w:r>
        <w:separator/>
      </w:r>
    </w:p>
  </w:endnote>
  <w:endnote w:type="continuationSeparator" w:id="0">
    <w:p w14:paraId="5BA1513A" w14:textId="77777777" w:rsidR="00512F61" w:rsidRDefault="00512F61" w:rsidP="0004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E82943" w:rsidRPr="00046A23" w:rsidRDefault="00046A23" w:rsidP="00046A23">
    <w:pPr>
      <w:pStyle w:val="Header"/>
    </w:pPr>
    <w:r>
      <w:rPr>
        <w:b/>
      </w:rPr>
      <w:t>Mensagens-chave</w:t>
    </w:r>
    <w:r>
      <w:t xml:space="preserve"> - Campanha do Pacto de Autarcas para 2024-2025</w:t>
    </w:r>
    <w:r>
      <w:tab/>
    </w:r>
    <w:r>
      <w:tab/>
    </w:r>
    <w:r w:rsidR="00201747" w:rsidRPr="00201747">
      <w:rPr>
        <w:color w:val="000000" w:themeColor="text1"/>
      </w:rPr>
      <w:fldChar w:fldCharType="begin"/>
    </w:r>
    <w:r w:rsidR="00201747" w:rsidRPr="00201747">
      <w:rPr>
        <w:color w:val="000000" w:themeColor="text1"/>
      </w:rPr>
      <w:instrText xml:space="preserve"> PAGE  \* Arabic </w:instrText>
    </w:r>
    <w:r w:rsidR="00201747" w:rsidRPr="00201747">
      <w:rPr>
        <w:color w:val="000000" w:themeColor="text1"/>
      </w:rPr>
      <w:fldChar w:fldCharType="separate"/>
    </w:r>
    <w:r w:rsidR="00201747" w:rsidRPr="00201747">
      <w:rPr>
        <w:color w:val="000000" w:themeColor="text1"/>
      </w:rPr>
      <w:t>1</w:t>
    </w:r>
    <w:r w:rsidR="00201747" w:rsidRPr="00201747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12A0A" w14:textId="77777777" w:rsidR="00512F61" w:rsidRDefault="00512F61" w:rsidP="00046A23">
      <w:r>
        <w:separator/>
      </w:r>
    </w:p>
  </w:footnote>
  <w:footnote w:type="continuationSeparator" w:id="0">
    <w:p w14:paraId="05C5767A" w14:textId="77777777" w:rsidR="00512F61" w:rsidRDefault="00512F61" w:rsidP="0004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E82943" w:rsidRPr="00E82943" w:rsidRDefault="008A1451" w:rsidP="00046A2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E70B5"/>
    <w:rsid w:val="001617F0"/>
    <w:rsid w:val="00161A50"/>
    <w:rsid w:val="00161AFC"/>
    <w:rsid w:val="00166C53"/>
    <w:rsid w:val="00184976"/>
    <w:rsid w:val="001F4E8C"/>
    <w:rsid w:val="00201747"/>
    <w:rsid w:val="002148E5"/>
    <w:rsid w:val="002210B7"/>
    <w:rsid w:val="002434A0"/>
    <w:rsid w:val="00270DB3"/>
    <w:rsid w:val="002770E4"/>
    <w:rsid w:val="002D2697"/>
    <w:rsid w:val="00301E75"/>
    <w:rsid w:val="00316F18"/>
    <w:rsid w:val="00330FF4"/>
    <w:rsid w:val="00337A76"/>
    <w:rsid w:val="003B1BD4"/>
    <w:rsid w:val="003E1EBD"/>
    <w:rsid w:val="00433F9F"/>
    <w:rsid w:val="00463851"/>
    <w:rsid w:val="00473389"/>
    <w:rsid w:val="004B0CBC"/>
    <w:rsid w:val="004C2EC9"/>
    <w:rsid w:val="004C3998"/>
    <w:rsid w:val="004D39A1"/>
    <w:rsid w:val="005058B8"/>
    <w:rsid w:val="00512F61"/>
    <w:rsid w:val="005A2121"/>
    <w:rsid w:val="005A7E29"/>
    <w:rsid w:val="005B43E6"/>
    <w:rsid w:val="005C74C8"/>
    <w:rsid w:val="005F1B0D"/>
    <w:rsid w:val="00621FE3"/>
    <w:rsid w:val="006609AC"/>
    <w:rsid w:val="006B441F"/>
    <w:rsid w:val="006B70EB"/>
    <w:rsid w:val="006D0942"/>
    <w:rsid w:val="0071528D"/>
    <w:rsid w:val="00764445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313F9"/>
    <w:rsid w:val="00934CFD"/>
    <w:rsid w:val="00943358"/>
    <w:rsid w:val="00974AED"/>
    <w:rsid w:val="009A6F4F"/>
    <w:rsid w:val="009D2ABB"/>
    <w:rsid w:val="00A22A47"/>
    <w:rsid w:val="00AA1CC1"/>
    <w:rsid w:val="00AA432C"/>
    <w:rsid w:val="00AE0733"/>
    <w:rsid w:val="00AE2775"/>
    <w:rsid w:val="00B02EC3"/>
    <w:rsid w:val="00BF79A8"/>
    <w:rsid w:val="00C51B7E"/>
    <w:rsid w:val="00C71221"/>
    <w:rsid w:val="00CA04C0"/>
    <w:rsid w:val="00CB2AD2"/>
    <w:rsid w:val="00CE4518"/>
    <w:rsid w:val="00CE714A"/>
    <w:rsid w:val="00D03DBD"/>
    <w:rsid w:val="00D22E9E"/>
    <w:rsid w:val="00D2554D"/>
    <w:rsid w:val="00D37FB9"/>
    <w:rsid w:val="00D50904"/>
    <w:rsid w:val="00D76C74"/>
    <w:rsid w:val="00DC3D54"/>
    <w:rsid w:val="00E82943"/>
    <w:rsid w:val="00EA1CAB"/>
    <w:rsid w:val="00EC6C08"/>
    <w:rsid w:val="00EC75A8"/>
    <w:rsid w:val="00F20BF8"/>
    <w:rsid w:val="00F538F6"/>
    <w:rsid w:val="00F9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46A23"/>
    <w:rPr>
      <w:rFonts w:ascii="Bourton Hand Line Bold" w:hAnsi="Bourton Hand Line Bold"/>
      <w:b/>
      <w:bCs/>
      <w:lang w:val="pt-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23"/>
    <w:rPr>
      <w:rFonts w:ascii="Source Sans 3 SemiBold" w:hAnsi="Source Sans 3 SemiBold"/>
      <w:b/>
      <w:bCs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46A23"/>
    <w:rPr>
      <w:rFonts w:ascii="Source Sans 3 SemiBold" w:hAnsi="Source Sans 3 SemiBold"/>
      <w:b/>
      <w:bCs/>
      <w:sz w:val="60"/>
      <w:szCs w:val="60"/>
      <w:lang w:val="pt-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9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9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9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43"/>
  </w:style>
  <w:style w:type="paragraph" w:styleId="Footer">
    <w:name w:val="footer"/>
    <w:basedOn w:val="Normal"/>
    <w:link w:val="Foot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43"/>
  </w:style>
  <w:style w:type="table" w:styleId="TableGrid">
    <w:name w:val="Table Grid"/>
    <w:basedOn w:val="Table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A23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046A23"/>
    <w:rPr>
      <w:rFonts w:ascii="Source Sans 3 Light" w:hAnsi="Source Sans 3 Light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986751-EC4E-41C7-BB3D-8A8D99C7BBA1}"/>
</file>

<file path=customXml/itemProps3.xml><?xml version="1.0" encoding="utf-8"?>
<ds:datastoreItem xmlns:ds="http://schemas.openxmlformats.org/officeDocument/2006/customXml" ds:itemID="{F80FDC37-3E33-43CF-A65C-9A8DA1472749}"/>
</file>

<file path=customXml/itemProps4.xml><?xml version="1.0" encoding="utf-8"?>
<ds:datastoreItem xmlns:ds="http://schemas.openxmlformats.org/officeDocument/2006/customXml" ds:itemID="{545B22BF-C917-4D51-B8CC-F394E5E0B3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6</Pages>
  <Words>1306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Zeljko Susljic</cp:lastModifiedBy>
  <cp:revision>32</cp:revision>
  <dcterms:created xsi:type="dcterms:W3CDTF">2024-06-07T14:27:00Z</dcterms:created>
  <dcterms:modified xsi:type="dcterms:W3CDTF">2024-08-07T15:42:00Z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