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22DDD3E1">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3E1EBD" w:rsidRDefault="00EC75A8" w:rsidP="00046A23">
      <w:r>
        <w:rPr>
          <w:noProof/>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587D0E72" w:rsidR="00C51B7E" w:rsidRPr="00046A23" w:rsidRDefault="00533D62" w:rsidP="00046A23">
                            <w:pPr>
                              <w:pStyle w:val="Title"/>
                            </w:pPr>
                            <w:r>
                              <w:t>Keskeinen</w:t>
                            </w:r>
                            <w:r w:rsidR="00046A23">
                              <w:t xml:space="preserve"> </w:t>
                            </w:r>
                            <w:r w:rsidR="00D55CE7">
                              <w:rPr>
                                <w:b w:val="0"/>
                                <w:bCs w:val="0"/>
                              </w:rPr>
                              <w:t>viestintä</w:t>
                            </w:r>
                          </w:p>
                          <w:p w14:paraId="3590FB96" w14:textId="66EE6D58" w:rsidR="00C51B7E" w:rsidRPr="00046A23" w:rsidRDefault="00582475" w:rsidP="00046A23">
                            <w:pPr>
                              <w:pStyle w:val="Heading2"/>
                            </w:pPr>
                            <w:r>
                              <w:t>2024–2025</w:t>
                            </w:r>
                            <w:r w:rsidR="00046A23">
                              <w:t xml:space="preserve"> kampanja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" filled="f" stroked="f" strokeweight=".5pt">
                <v:textbox>
                  <w:txbxContent>
                    <w:p w14:paraId="720DBD1D" w14:textId="587D0E72" w:rsidR="00C51B7E" w:rsidRPr="00046A23" w:rsidRDefault="00533D62" w:rsidP="00046A23">
                      <w:pPr>
                        <w:pStyle w:val="Otsikko"/>
                      </w:pPr>
                      <w:r>
                        <w:t>Keskeinen</w:t>
                      </w:r>
                      <w:r w:rsidR="00046A23">
                        <w:t xml:space="preserve"> </w:t>
                      </w:r>
                      <w:r w:rsidR="00D55CE7">
                        <w:rPr>
                          <w:b w:val="0"/>
                          <w:bCs w:val="0"/>
                        </w:rPr>
                        <w:t>viestintä</w:t>
                      </w:r>
                    </w:p>
                    <w:p w14:paraId="3590FB96" w14:textId="66EE6D58" w:rsidR="00C51B7E" w:rsidRPr="00046A23" w:rsidRDefault="00582475" w:rsidP="00046A23">
                      <w:pPr>
                        <w:pStyle w:val="Otsikko2"/>
                      </w:pPr>
                      <w:r>
                        <w:t>2024–2025</w:t>
                      </w:r>
                      <w:r w:rsidR="00046A23">
                        <w:t xml:space="preserve"> kampanja</w:t>
                      </w:r>
                    </w:p>
                  </w:txbxContent>
                </v:textbox>
              </v:shape>
            </w:pict>
          </mc:Fallback>
        </mc:AlternateContent>
      </w:r>
      <w:r>
        <w:rPr>
          <w:noProof/>
        </w:rPr>
        <w:drawing>
          <wp:anchor distT="0" distB="0" distL="114300" distR="114300" simplePos="0" relativeHeight="251660288" behindDoc="0" locked="0" layoutInCell="1" allowOverlap="1" wp14:anchorId="12036A29" wp14:editId="56FC29D6">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Pr>
          <w:noProof/>
          <w:sz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47F8665C" w14:textId="77777777" w:rsidR="00046A23" w:rsidRPr="0049466A" w:rsidRDefault="00046A23" w:rsidP="00046A23">
      <w:pPr>
        <w:pStyle w:val="Heading1"/>
      </w:pPr>
      <w:r>
        <w:rPr>
          <w:rStyle w:val="TitleChar"/>
          <w:b/>
        </w:rPr>
        <w:lastRenderedPageBreak/>
        <w:t>Kampanjan</w:t>
      </w:r>
      <w:r>
        <w:rPr>
          <w:rStyle w:val="TitleChar"/>
        </w:rPr>
        <w:t xml:space="preserve"> yhteenveto</w:t>
      </w:r>
    </w:p>
    <w:p w14:paraId="1F7BBCF4" w14:textId="77777777" w:rsidR="00046A23" w:rsidRPr="0049466A" w:rsidRDefault="00046A23" w:rsidP="00046A23">
      <w:pPr>
        <w:pStyle w:val="Heading2"/>
      </w:pPr>
      <w:r>
        <w:t>Kampanjan nimi</w:t>
      </w:r>
    </w:p>
    <w:p w14:paraId="690C94D6" w14:textId="77777777" w:rsidR="00046A23" w:rsidRDefault="00046A23" w:rsidP="00046A23">
      <w:r>
        <w:t>The Cities Heat Detox.</w:t>
      </w:r>
    </w:p>
    <w:p w14:paraId="22B6B86D" w14:textId="77777777" w:rsidR="00046A23" w:rsidRPr="0049466A" w:rsidRDefault="00046A23" w:rsidP="00046A23">
      <w:pPr>
        <w:pStyle w:val="Heading2"/>
      </w:pPr>
      <w:r>
        <w:t>Kampanjan aihe</w:t>
      </w:r>
    </w:p>
    <w:p w14:paraId="56CDE98A" w14:textId="77777777" w:rsidR="00046A23" w:rsidRDefault="00046A23" w:rsidP="00046A23">
      <w:r>
        <w:t>Irtautuminen kaukolämmön hiilestä EU:n kaasukäytöstä asteittaisen poistamisen mukaisesti.</w:t>
      </w:r>
    </w:p>
    <w:p w14:paraId="348538F6" w14:textId="77777777" w:rsidR="00046A23" w:rsidRPr="0049466A" w:rsidRDefault="00046A23" w:rsidP="00046A23">
      <w:pPr>
        <w:pStyle w:val="Heading2"/>
      </w:pPr>
      <w:r>
        <w:t>Kampanjan kesto</w:t>
      </w:r>
    </w:p>
    <w:p w14:paraId="75E7096F" w14:textId="77777777" w:rsidR="00046A23" w:rsidRDefault="00046A23" w:rsidP="00046A23">
      <w:r>
        <w:t>Kesäkuu 2024 – kesäkuu 2025</w:t>
      </w:r>
    </w:p>
    <w:p w14:paraId="3B61DFE2" w14:textId="77777777" w:rsidR="00046A23" w:rsidRPr="0049466A" w:rsidRDefault="00046A23" w:rsidP="00046A23">
      <w:pPr>
        <w:pStyle w:val="Heading2"/>
      </w:pPr>
      <w:r>
        <w:t>Yleiskuvaus</w:t>
      </w:r>
    </w:p>
    <w:p w14:paraId="34D6C4FB" w14:textId="6219E9C4" w:rsidR="00046A23" w:rsidRDefault="00046A23" w:rsidP="00046A23">
      <w:r>
        <w:t xml:space="preserve">Kun </w:t>
      </w:r>
      <w:r w:rsidR="00B72943">
        <w:t xml:space="preserve">otetaan </w:t>
      </w:r>
      <w:r>
        <w:t>huom</w:t>
      </w:r>
      <w:r w:rsidR="00B72943">
        <w:t>ioon</w:t>
      </w:r>
      <w:r>
        <w:t xml:space="preserve"> EU:n luopuminen kaasusta asteittain, tässä kampanjassa korostetaan sitä, kuinka kaupunkien lämmitysjärjestelmien hiilestä irtautuminen on ratkaisevan tärkeää EU:n tavoitteiden saavuttamisessa. Kampanjan tavoitteena on lisätä tietoisuutta ja voimaannuttaa paikallisviranomaisia siirtymään</w:t>
      </w:r>
      <w:r w:rsidR="00F41A9C">
        <w:t xml:space="preserve"> pois</w:t>
      </w:r>
      <w:r>
        <w:t xml:space="preserve"> fossiilisista polttoaineista toteuttamalla kokonaisvaltaista läm</w:t>
      </w:r>
      <w:r w:rsidR="00215320">
        <w:t>p</w:t>
      </w:r>
      <w:r>
        <w:t>ösuunnittelua ja ottamalla käyttöön kestävä yhteinen kaukolämpö. Tämän vuoksi kampanjassa keskitytään lämpöenergian hiilestä irtautumisen sivuhyötyihin kaupungeissa: terveellisempään ilmaan, nykyaikaisempaan talouteen ja energiavarmuuden parantamiseen. </w:t>
      </w:r>
    </w:p>
    <w:p w14:paraId="2E4FAFE5" w14:textId="77777777" w:rsidR="00046A23" w:rsidRPr="0049466A" w:rsidRDefault="00046A23" w:rsidP="00046A23">
      <w:pPr>
        <w:pStyle w:val="Heading1"/>
      </w:pPr>
      <w:r>
        <w:rPr>
          <w:rStyle w:val="TitleChar"/>
          <w:b/>
        </w:rPr>
        <w:t>Kampanja</w:t>
      </w:r>
      <w:r>
        <w:rPr>
          <w:rStyle w:val="TitleChar"/>
        </w:rPr>
        <w:t xml:space="preserve"> pähkinänkuoressa</w:t>
      </w:r>
    </w:p>
    <w:p w14:paraId="421BAE72" w14:textId="77777777" w:rsidR="00046A23" w:rsidRPr="00046A23" w:rsidRDefault="00046A23" w:rsidP="00046A23">
      <w:pPr>
        <w:pStyle w:val="Heading2"/>
        <w:rPr>
          <w:u w:val="single"/>
        </w:rPr>
      </w:pPr>
      <w:r>
        <w:rPr>
          <w:u w:val="single"/>
        </w:rPr>
        <w:t>The Cities Heat Detox</w:t>
      </w:r>
    </w:p>
    <w:p w14:paraId="3B00257A" w14:textId="77777777" w:rsidR="00046A23" w:rsidRPr="00516C9B" w:rsidRDefault="00046A23" w:rsidP="00046A23">
      <w:pPr>
        <w:pStyle w:val="Heading2"/>
      </w:pPr>
      <w:r>
        <w:t>Terveellistä lämpöä kaupungeille</w:t>
      </w:r>
    </w:p>
    <w:p w14:paraId="0FAA9FE7" w14:textId="77777777" w:rsidR="00046A23" w:rsidRPr="00516C9B" w:rsidRDefault="00046A23" w:rsidP="00046A23">
      <w:pPr>
        <w:spacing w:after="0"/>
        <w:rPr>
          <w:color w:val="000000" w:themeColor="text1"/>
        </w:rPr>
      </w:pPr>
      <w:r>
        <w:rPr>
          <w:color w:val="000000" w:themeColor="text1"/>
        </w:rPr>
        <w:t>Puhtaampi ilma, vahvempi talous ja kestävämmät yhteisöt.</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color w:val="000000" w:themeColor="text1"/>
        </w:rPr>
        <w:t>#HealthyHeat4Cities #CitiesHeatDetox</w:t>
      </w:r>
    </w:p>
    <w:p w14:paraId="4EF265DF" w14:textId="77777777" w:rsidR="00046A23" w:rsidRDefault="00046A23" w:rsidP="00046A23">
      <w:pPr>
        <w:spacing w:after="0"/>
        <w:rPr>
          <w:lang w:val="en-US"/>
        </w:rPr>
      </w:pPr>
    </w:p>
    <w:p w14:paraId="443AF6E6" w14:textId="1E6E2FD6" w:rsidR="00046A23" w:rsidRPr="00BF58CE" w:rsidRDefault="00BF7DEC" w:rsidP="00046A23">
      <w:pPr>
        <w:spacing w:after="0"/>
      </w:pPr>
      <w:r>
        <w:t>Nykyinen tapamme lämmittää</w:t>
      </w:r>
      <w:r w:rsidR="00046A23">
        <w:t xml:space="preserve"> fossiilisilla polttoaineilla</w:t>
      </w:r>
      <w:r>
        <w:t xml:space="preserve"> </w:t>
      </w:r>
      <w:r w:rsidR="00046A23">
        <w:t xml:space="preserve">on haitallinen ympäristöllemme, terveydellemme ja yhteiskunnallemme. Fossiilisilla polttoaineilla toimiva lämmitys, jonka osuus rakennusten lämmityksestä Euroopassa on tällä hetkellä 72 prosenttia, lisää ilmastonmuutosta, energiansaannin epävarmuutta ja huonontaa ilmanlaatua. Ei ole epäilystäkään, että terveemmän ja turvallisemman tulevaisuuden vuoksi kaupunkimme tarvitsevat myrkyllisten lämmönlähteiden kattavaa puhdistusta. </w:t>
      </w:r>
    </w:p>
    <w:p w14:paraId="251EBC0F" w14:textId="77777777" w:rsidR="00046A23" w:rsidRPr="00BF58CE" w:rsidRDefault="00046A23" w:rsidP="00046A23">
      <w:pPr>
        <w:spacing w:after="0"/>
      </w:pPr>
    </w:p>
    <w:p w14:paraId="27215182" w14:textId="167ACFA5" w:rsidR="00046A23" w:rsidRPr="00BF58CE" w:rsidRDefault="00046A23" w:rsidP="00046A23">
      <w:pPr>
        <w:spacing w:after="0"/>
      </w:pPr>
      <w:r>
        <w:t xml:space="preserve">Kaupungeilla on mahdollisuus vaikuttaa suuresti. </w:t>
      </w:r>
      <w:r w:rsidR="002822ED" w:rsidRPr="002822ED">
        <w:t>Tehokkaalla lämpösuunnittelulla ja kollektiivisten ratkaisujen laajentamisella</w:t>
      </w:r>
      <w:r w:rsidR="002822ED">
        <w:t xml:space="preserve">, kuten </w:t>
      </w:r>
      <w:r>
        <w:t>hiilettömä</w:t>
      </w:r>
      <w:r w:rsidR="00D864B8">
        <w:t>llä</w:t>
      </w:r>
      <w:r>
        <w:t xml:space="preserve"> kaukolämmö</w:t>
      </w:r>
      <w:r w:rsidR="00D864B8">
        <w:t>llä</w:t>
      </w:r>
      <w:r>
        <w:t xml:space="preserve">, paikallishallinnot voivat asteittain poistaa kaasun lämmityksestään </w:t>
      </w:r>
      <w:r w:rsidR="00D864B8">
        <w:t>suuressa</w:t>
      </w:r>
      <w:r>
        <w:t xml:space="preserve"> mittakaavassa. </w:t>
      </w:r>
    </w:p>
    <w:p w14:paraId="4440BBB2" w14:textId="77777777" w:rsidR="00046A23" w:rsidRPr="00BF58CE" w:rsidRDefault="00046A23" w:rsidP="00046A23">
      <w:pPr>
        <w:spacing w:after="0"/>
      </w:pPr>
    </w:p>
    <w:p w14:paraId="026D82D8" w14:textId="007CB567" w:rsidR="00046A23" w:rsidRDefault="00046A23" w:rsidP="00046A23">
      <w:pPr>
        <w:spacing w:after="0"/>
        <w:rPr>
          <w:b/>
          <w:bCs/>
        </w:rPr>
      </w:pPr>
      <w:r>
        <w:rPr>
          <w:b/>
        </w:rPr>
        <w:t xml:space="preserve">Liity Euroopan kaupunkien hankkeeseen, jossa kaupungit puhdistavat lämpöenergiaa ja valitsevat turvallisen ja terveen tulevaisuuden kaikille. </w:t>
      </w:r>
    </w:p>
    <w:p w14:paraId="6ABAACB2" w14:textId="77777777" w:rsidR="00046A23" w:rsidRDefault="00046A23" w:rsidP="00046A23">
      <w:pPr>
        <w:spacing w:after="0"/>
        <w:rPr>
          <w:lang w:val="en-US"/>
        </w:rPr>
      </w:pPr>
    </w:p>
    <w:p w14:paraId="16802A38" w14:textId="77777777" w:rsidR="00046A23" w:rsidRDefault="00046A23" w:rsidP="00046A23">
      <w:pPr>
        <w:spacing w:after="0"/>
      </w:pPr>
      <w:r>
        <w:br w:type="page"/>
      </w:r>
    </w:p>
    <w:p w14:paraId="4DE05BFE" w14:textId="77777777" w:rsidR="00046A23" w:rsidRPr="00046A23" w:rsidRDefault="00046A23" w:rsidP="00046A23">
      <w:pPr>
        <w:pStyle w:val="Heading1"/>
      </w:pPr>
      <w:r>
        <w:lastRenderedPageBreak/>
        <w:t xml:space="preserve">Viestipilari </w:t>
      </w:r>
      <w:r>
        <w:rPr>
          <w:b w:val="0"/>
        </w:rPr>
        <w:t>1</w:t>
      </w:r>
    </w:p>
    <w:p w14:paraId="3335FB36" w14:textId="550689C4" w:rsidR="00046A23" w:rsidRDefault="00046A23" w:rsidP="00046A23">
      <w:pPr>
        <w:pStyle w:val="Heading2"/>
      </w:pPr>
      <w:r>
        <w:t>Miksi The Cities Heat Detox -kampanja</w:t>
      </w:r>
      <w:r w:rsidR="000B1BCC">
        <w:t xml:space="preserve"> kannattaa</w:t>
      </w:r>
      <w:r>
        <w:t>?</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color w:val="000000" w:themeColor="text1"/>
              </w:rPr>
              <w:t>Terveemmät kaupungit</w:t>
            </w:r>
          </w:p>
          <w:p w14:paraId="61762295" w14:textId="77777777" w:rsidR="00046A23" w:rsidRPr="00516C9B" w:rsidRDefault="00046A23" w:rsidP="004C6886">
            <w:pPr>
              <w:jc w:val="center"/>
              <w:rPr>
                <w:color w:val="000000" w:themeColor="text1"/>
              </w:rPr>
            </w:pPr>
            <w:r>
              <w:rPr>
                <w:color w:val="000000" w:themeColor="text1"/>
              </w:rPr>
              <w:t>Kaupungin terveyden turvaaminen tarkoittaa myrkyllisten lämmönlähteiden välttämistä.</w:t>
            </w:r>
          </w:p>
          <w:p w14:paraId="0C1986D9" w14:textId="77777777" w:rsidR="00046A23" w:rsidRPr="00516C9B" w:rsidRDefault="00046A23" w:rsidP="004C6886">
            <w:pPr>
              <w:jc w:val="center"/>
              <w:rPr>
                <w:color w:val="000000" w:themeColor="text1"/>
              </w:rPr>
            </w:pPr>
            <w:r>
              <w:rPr>
                <w:color w:val="000000" w:themeColor="text1"/>
              </w:rPr>
              <w:t>Ilmastonmuutoksen maailmanlaajuisessa torjunnassa kaupunkien lämmityksen myrkyttömäksi tekeminen on olennainen askel kohti nettonollapäästöjen saavuttamista Euroopassa vuoteen 2050 mennessä.</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color w:val="000000" w:themeColor="text1"/>
              </w:rPr>
              <w:t>Puhtaampi ilma</w:t>
            </w:r>
          </w:p>
          <w:p w14:paraId="04D5F068" w14:textId="1F26776C" w:rsidR="00046A23" w:rsidRPr="00BF58CE" w:rsidRDefault="00046A23" w:rsidP="004C6886">
            <w:pPr>
              <w:jc w:val="center"/>
            </w:pPr>
            <w:r>
              <w:t xml:space="preserve">Parantaa ilmanlaatua ja terveyttä kaupungeissa, erityisesti </w:t>
            </w:r>
            <w:r w:rsidR="00E70D98">
              <w:t>tiheillä</w:t>
            </w:r>
            <w:r>
              <w:t xml:space="preserve"> kaupunkialueilla, suojellen kaupungin ympäristöä ja kansalaisten hyvinvointia.</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color w:val="000000" w:themeColor="text1"/>
              </w:rPr>
              <w:t>Vahvempi talous</w:t>
            </w:r>
          </w:p>
          <w:p w14:paraId="29DDD771" w14:textId="0531D758" w:rsidR="00046A23" w:rsidRPr="00516C9B" w:rsidRDefault="00046A23" w:rsidP="004C6886">
            <w:pPr>
              <w:jc w:val="center"/>
              <w:rPr>
                <w:color w:val="000000" w:themeColor="text1"/>
              </w:rPr>
            </w:pPr>
            <w:r>
              <w:rPr>
                <w:color w:val="000000" w:themeColor="text1"/>
              </w:rPr>
              <w:t>Tu</w:t>
            </w:r>
            <w:r w:rsidR="00E70D98">
              <w:rPr>
                <w:color w:val="000000" w:themeColor="text1"/>
              </w:rPr>
              <w:t>kee</w:t>
            </w:r>
            <w:r>
              <w:rPr>
                <w:color w:val="000000" w:themeColor="text1"/>
              </w:rPr>
              <w:t xml:space="preserve"> energiatehokkaampaa ja nykyaikaisempaa kiertotaloutta luomalla työpaikkoja uudelle toimialalle.</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color w:val="000000" w:themeColor="text1"/>
              </w:rPr>
              <w:t>Kestävämmät yhteisöt</w:t>
            </w:r>
          </w:p>
          <w:p w14:paraId="27385150" w14:textId="219F7BB3" w:rsidR="00046A23" w:rsidRPr="00516C9B" w:rsidRDefault="00046A23" w:rsidP="004C6886">
            <w:pPr>
              <w:jc w:val="center"/>
              <w:rPr>
                <w:color w:val="000000" w:themeColor="text1"/>
              </w:rPr>
            </w:pPr>
            <w:r>
              <w:rPr>
                <w:color w:val="000000" w:themeColor="text1"/>
              </w:rPr>
              <w:t>Varmist</w:t>
            </w:r>
            <w:r w:rsidR="00E70D98">
              <w:rPr>
                <w:color w:val="000000" w:themeColor="text1"/>
              </w:rPr>
              <w:t>avat</w:t>
            </w:r>
            <w:r>
              <w:rPr>
                <w:color w:val="000000" w:themeColor="text1"/>
              </w:rPr>
              <w:t xml:space="preserve"> energiaomavaraisuu</w:t>
            </w:r>
            <w:r w:rsidR="00E70D98">
              <w:rPr>
                <w:color w:val="000000" w:themeColor="text1"/>
              </w:rPr>
              <w:t>den</w:t>
            </w:r>
            <w:r>
              <w:rPr>
                <w:color w:val="000000" w:themeColor="text1"/>
              </w:rPr>
              <w:t xml:space="preserve"> ja oikeudenmukai</w:t>
            </w:r>
            <w:r w:rsidR="00E70D98">
              <w:rPr>
                <w:color w:val="000000" w:themeColor="text1"/>
              </w:rPr>
              <w:t>s</w:t>
            </w:r>
            <w:r>
              <w:rPr>
                <w:color w:val="000000" w:themeColor="text1"/>
              </w:rPr>
              <w:t>en siirtymä</w:t>
            </w:r>
            <w:r w:rsidR="00E70D98">
              <w:rPr>
                <w:color w:val="000000" w:themeColor="text1"/>
              </w:rPr>
              <w:t>n</w:t>
            </w:r>
            <w:r>
              <w:rPr>
                <w:color w:val="000000" w:themeColor="text1"/>
              </w:rPr>
              <w:t>, jolla torjutaan energiaköyhyyttä ja lievennetään ilmastonmuutoksen pitkäaikaisia vaikutuksia paikallisyhteisöihin.</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t xml:space="preserve">Viestipilari </w:t>
      </w:r>
      <w:r>
        <w:rPr>
          <w:b w:val="0"/>
        </w:rPr>
        <w:t>2</w:t>
      </w:r>
    </w:p>
    <w:p w14:paraId="6FCD9DDB" w14:textId="1B9E50BB" w:rsidR="00046A23" w:rsidRDefault="00046A23" w:rsidP="00046A23">
      <w:pPr>
        <w:pStyle w:val="Heading2"/>
      </w:pPr>
      <w:r>
        <w:t>Mitä kaupungit voivat tehdä puhdistaakseen lämpöenergia</w:t>
      </w:r>
      <w:r w:rsidR="005B0E1C">
        <w:t>nsa</w:t>
      </w:r>
      <w:r>
        <w:t>?</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color w:val="000000" w:themeColor="text1"/>
              </w:rPr>
              <w:t>Kaupunkien lämmittämiseksi ei tarvitse polttaa myrkyllisiä lähteitä.</w:t>
            </w:r>
          </w:p>
          <w:p w14:paraId="0064F0FD" w14:textId="77777777" w:rsidR="00046A23" w:rsidRPr="00516C9B" w:rsidRDefault="00046A23" w:rsidP="004C6886">
            <w:pPr>
              <w:jc w:val="center"/>
              <w:rPr>
                <w:color w:val="000000" w:themeColor="text1"/>
              </w:rPr>
            </w:pPr>
            <w:r>
              <w:rPr>
                <w:color w:val="000000" w:themeColor="text1"/>
              </w:rPr>
              <w:t>Kaupungit voivat puhdistaa lämpöenergiaa suuressa mittakaavassa siirtymällä massiivisesti kohti puhtaampia, nykyaikaisempia ja kestävämpiä lämmitysjärjestelmiä. Tässä on miten kolmessa vaiheessa.</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color w:val="000000" w:themeColor="text1"/>
              </w:rPr>
              <w:t>Tunne lämpöenergia</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color w:val="000000" w:themeColor="text1"/>
              </w:rPr>
              <w:t>Koko kaupungin puhdistaminen</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516C9B" w:rsidRDefault="00046A23" w:rsidP="004C6886">
            <w:pPr>
              <w:numPr>
                <w:ilvl w:val="0"/>
                <w:numId w:val="1"/>
              </w:numPr>
              <w:rPr>
                <w:b/>
                <w:bCs/>
                <w:color w:val="000000" w:themeColor="text1"/>
              </w:rPr>
            </w:pPr>
            <w:r>
              <w:rPr>
                <w:b/>
                <w:color w:val="000000" w:themeColor="text1"/>
              </w:rPr>
              <w:t>Puhdista lämpöenergia</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BF58CE" w:rsidRDefault="00046A23" w:rsidP="004C6886">
            <w:pPr>
              <w:jc w:val="center"/>
            </w:pPr>
            <w:r>
              <w:t>Ensimmäinen askel mihin tahansa puhdistamiseen on saada selkeä käsitys järjestelmästä: kaupungin lämmönlähteistä, lämmöntarpeesta ja mahdollisista vaihtoehdoista.</w:t>
            </w:r>
          </w:p>
          <w:p w14:paraId="6484289C" w14:textId="183053ED" w:rsidR="00046A23" w:rsidRPr="00BF58CE" w:rsidRDefault="00046A23" w:rsidP="004C6886">
            <w:pPr>
              <w:jc w:val="center"/>
            </w:pPr>
            <w:r>
              <w:t>Kartoitetaan kattavan suunnittelun avulla mahdollisuudet vähentää lämmönlähteiden hiilipäästöjä ja vähentää kysyntää sekä mahdollisesti laajentaa tai toteuttaa kollektiivisia kaukolämpöverkkoja.</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0C545B37" w:rsidR="00046A23" w:rsidRPr="00BF58CE" w:rsidRDefault="00920D6F" w:rsidP="004C6886">
            <w:pPr>
              <w:jc w:val="center"/>
            </w:pPr>
            <w:r>
              <w:t>Harkitse koko kaupungin kattavaa lähestymistapaa</w:t>
            </w:r>
            <w:r w:rsidR="00046ECF">
              <w:t>, joka vähentää lämmitykseen liittyviä myrkkyjä suuressa mittakaavassa,</w:t>
            </w:r>
            <w:r>
              <w:t xml:space="preserve"> t</w:t>
            </w:r>
            <w:r w:rsidR="00046A23">
              <w:t>ehokkaampaa puhdistamista varten</w:t>
            </w:r>
            <w:r>
              <w:t xml:space="preserve">. </w:t>
            </w:r>
            <w:r w:rsidR="00046A23">
              <w:t>Tämä tarkoittaa hiilettömien kollektiivisten kaukolämpöratkaisujen käyttöönottoa.</w:t>
            </w:r>
          </w:p>
          <w:p w14:paraId="3041A9F5" w14:textId="77777777" w:rsidR="00046A23" w:rsidRPr="00BF58CE" w:rsidRDefault="00046A23" w:rsidP="004C6886">
            <w:pPr>
              <w:jc w:val="center"/>
            </w:pPr>
            <w:r>
              <w:t xml:space="preserve">Näiden laajentaminen, kehittäminen ja uudistaminen tiheillä kaupunkialueilla on vaikuttavin ja kustannustehokkain tapa saavuttaa vähähiilisen energian laajamittainen käyttö ja parantaa </w:t>
            </w:r>
            <w:r>
              <w:lastRenderedPageBreak/>
              <w:t>ilmanlaatua samalla kun varmistetaan energiavarmuus.</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lastRenderedPageBreak/>
              <w:t>Uudista kaupungin lämmitysjärjestelmä syöttämällä kaukolämpöverkkoon puhtaita, terveellisiä lämmönlähteitä, jotka soveltuvat parhaiten alueelle.</w:t>
            </w:r>
          </w:p>
          <w:p w14:paraId="49EFE784" w14:textId="77777777" w:rsidR="00046A23" w:rsidRPr="00BF58CE" w:rsidRDefault="00046A23" w:rsidP="004C6886">
            <w:pPr>
              <w:jc w:val="center"/>
            </w:pPr>
            <w:r>
              <w:t>Geoterminen lämpö, aurinkolämpö ja uusiutuvilla energialähteillä toimivat suuren mittakaavan lämpöpumput ovat erinomaisia lähteitä kaupungin lämmitysjärjestelmän uudistamiseen.</w:t>
            </w:r>
          </w:p>
        </w:tc>
      </w:tr>
    </w:tbl>
    <w:p w14:paraId="4F5D95BD" w14:textId="77777777" w:rsidR="00046A23" w:rsidRDefault="00046A23" w:rsidP="00046A23">
      <w:pPr>
        <w:rPr>
          <w:lang w:val="en-US"/>
        </w:rPr>
      </w:pPr>
    </w:p>
    <w:p w14:paraId="534AEC3F" w14:textId="12160284" w:rsidR="005A2121" w:rsidRDefault="005A2121" w:rsidP="005A2121">
      <w:pPr>
        <w:pStyle w:val="Heading2"/>
      </w:pPr>
      <w:r>
        <w:t>Miten kaupungissasi puhdistetaan lämpöenergiaa?</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rPr>
              <w:t>Luo kaupunkisi lämpöenergiaa puhdistava sekoitus.</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Terveen lämmityksen ja jäähdytyksen perusta</w:t>
            </w:r>
          </w:p>
          <w:p w14:paraId="7510CFF9" w14:textId="77777777" w:rsidR="005A2121" w:rsidRDefault="005A2121" w:rsidP="005A2121">
            <w:pPr>
              <w:pStyle w:val="ListParagraph"/>
              <w:numPr>
                <w:ilvl w:val="0"/>
                <w:numId w:val="7"/>
              </w:numPr>
            </w:pPr>
            <w:r>
              <w:t>Kaukolämpö</w:t>
            </w:r>
          </w:p>
          <w:p w14:paraId="3EA3130D" w14:textId="77777777" w:rsidR="005A2121" w:rsidRDefault="005A2121" w:rsidP="005A2121">
            <w:pPr>
              <w:pStyle w:val="ListParagraph"/>
              <w:numPr>
                <w:ilvl w:val="0"/>
                <w:numId w:val="7"/>
              </w:numPr>
            </w:pPr>
            <w:r>
              <w:t>Kaukojäähdytys</w:t>
            </w:r>
          </w:p>
          <w:p w14:paraId="65726574" w14:textId="09F685FA" w:rsidR="005A2121" w:rsidRPr="005A2121" w:rsidRDefault="005A2121" w:rsidP="005A2121">
            <w:pPr>
              <w:pStyle w:val="ListParagraph"/>
              <w:numPr>
                <w:ilvl w:val="0"/>
                <w:numId w:val="7"/>
              </w:numPr>
            </w:pPr>
            <w:r>
              <w:t>Lämpöpumput</w:t>
            </w:r>
          </w:p>
        </w:tc>
        <w:tc>
          <w:tcPr>
            <w:tcW w:w="3005" w:type="dxa"/>
            <w:shd w:val="clear" w:color="auto" w:fill="F2F2F2" w:themeFill="background1" w:themeFillShade="F2"/>
          </w:tcPr>
          <w:p w14:paraId="7DA01504" w14:textId="77777777" w:rsidR="005A2121" w:rsidRDefault="005A2121" w:rsidP="005A2121">
            <w:r>
              <w:t>Ainekset terveelliseen lämmitykseen ja jäähdytykseen</w:t>
            </w:r>
          </w:p>
          <w:p w14:paraId="1DFA75B4" w14:textId="77777777" w:rsidR="005A2121" w:rsidRDefault="005A2121" w:rsidP="005A2121">
            <w:pPr>
              <w:pStyle w:val="ListParagraph"/>
              <w:numPr>
                <w:ilvl w:val="0"/>
                <w:numId w:val="8"/>
              </w:numPr>
            </w:pPr>
            <w:r>
              <w:t>Geoterminen lämpö</w:t>
            </w:r>
          </w:p>
          <w:p w14:paraId="5F015F28" w14:textId="77777777" w:rsidR="005A2121" w:rsidRDefault="005A2121" w:rsidP="005A2121">
            <w:pPr>
              <w:pStyle w:val="ListParagraph"/>
              <w:numPr>
                <w:ilvl w:val="0"/>
                <w:numId w:val="8"/>
              </w:numPr>
            </w:pPr>
            <w:r>
              <w:t>Aurinkolämpöä</w:t>
            </w:r>
          </w:p>
          <w:p w14:paraId="4D8376CA" w14:textId="77777777" w:rsidR="005A2121" w:rsidRDefault="005A2121" w:rsidP="005A2121">
            <w:pPr>
              <w:pStyle w:val="ListParagraph"/>
              <w:numPr>
                <w:ilvl w:val="0"/>
                <w:numId w:val="8"/>
              </w:numPr>
            </w:pPr>
            <w:r>
              <w:t>Hukkalämpö</w:t>
            </w:r>
          </w:p>
          <w:p w14:paraId="07134E01" w14:textId="77777777" w:rsidR="005A2121" w:rsidRDefault="005A2121" w:rsidP="005A2121">
            <w:pPr>
              <w:pStyle w:val="ListParagraph"/>
              <w:numPr>
                <w:ilvl w:val="0"/>
                <w:numId w:val="8"/>
              </w:numPr>
            </w:pPr>
            <w:r>
              <w:t>Ilmalähde</w:t>
            </w:r>
          </w:p>
          <w:p w14:paraId="70AB03C1" w14:textId="2458446A" w:rsidR="005A2121" w:rsidRPr="005A2121" w:rsidRDefault="005A2121" w:rsidP="005A2121">
            <w:pPr>
              <w:pStyle w:val="ListParagraph"/>
              <w:numPr>
                <w:ilvl w:val="0"/>
                <w:numId w:val="8"/>
              </w:numPr>
            </w:pPr>
            <w:r>
              <w:t>Vesilähde</w:t>
            </w:r>
          </w:p>
        </w:tc>
        <w:tc>
          <w:tcPr>
            <w:tcW w:w="3006" w:type="dxa"/>
            <w:shd w:val="clear" w:color="auto" w:fill="F2F2F2" w:themeFill="background1" w:themeFillShade="F2"/>
          </w:tcPr>
          <w:p w14:paraId="79E07C0B" w14:textId="77777777" w:rsidR="005A2121" w:rsidRDefault="005A2121" w:rsidP="005A2121">
            <w:r>
              <w:t>Lisäravinteet</w:t>
            </w:r>
          </w:p>
          <w:p w14:paraId="5D1540AA" w14:textId="77777777" w:rsidR="005A2121" w:rsidRDefault="005A2121" w:rsidP="005A2121">
            <w:pPr>
              <w:pStyle w:val="ListParagraph"/>
              <w:numPr>
                <w:ilvl w:val="0"/>
                <w:numId w:val="8"/>
              </w:numPr>
            </w:pPr>
            <w:r>
              <w:t>Biomassa</w:t>
            </w:r>
          </w:p>
          <w:p w14:paraId="6BBC038A" w14:textId="24333F6F" w:rsidR="005A2121" w:rsidRPr="005A2121" w:rsidRDefault="005A2121" w:rsidP="005A2121">
            <w:pPr>
              <w:pStyle w:val="ListParagraph"/>
              <w:numPr>
                <w:ilvl w:val="0"/>
                <w:numId w:val="8"/>
              </w:numPr>
            </w:pPr>
            <w:r>
              <w:t>Biokaasu</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t xml:space="preserve">Viestipilari </w:t>
      </w:r>
      <w:r>
        <w:rPr>
          <w:b w:val="0"/>
        </w:rPr>
        <w:t>3</w:t>
      </w:r>
    </w:p>
    <w:p w14:paraId="0515AF9F" w14:textId="77777777" w:rsidR="00046A23" w:rsidRPr="00046A23" w:rsidRDefault="00046A23" w:rsidP="00046A23">
      <w:pPr>
        <w:pStyle w:val="Heading2"/>
      </w:pPr>
      <w:r>
        <w:t>Mitä kaupungit tarvitsevat lämpöenergian puhdistamiseen?</w:t>
      </w:r>
    </w:p>
    <w:p w14:paraId="7B2C8FED" w14:textId="12FF8809" w:rsidR="0090324F" w:rsidRDefault="0090324F" w:rsidP="0090324F">
      <w:r>
        <w:t xml:space="preserve">Valitettavasti kaupungit eri puolilla EU:ta kamppailevat tällä hetkellä vihamielisten olosuhteiden kanssa puhdistaakseen lämpöenergian onnistuneesti. </w:t>
      </w:r>
      <w:hyperlink r:id="rId14" w:tgtFrame="_blank" w:history="1">
        <w:r>
          <w:rPr>
            <w:rStyle w:val="Hyperlink"/>
          </w:rPr>
          <w:t>EU:n seurantakeskus</w:t>
        </w:r>
      </w:hyperlink>
      <w:r>
        <w:t>, joka arvioi paikallisen lämmityksen ja jäähdytyksen suunnittelun nykytilaa EU:n jäsenvaltioissa, korostaa, että useimmilla mailla ei ole asianmukaisia sääntely- ja tukikehyksiä, joiden avulla kunnat voisivat aloittaa puhdistuksen ensimmäisen ja olennaisen vaiheen eli lämpösuunnitelman.  </w:t>
      </w:r>
    </w:p>
    <w:p w14:paraId="21AFB5A7" w14:textId="36C6500A" w:rsidR="00EA1CAB" w:rsidRDefault="00046A23" w:rsidP="0090324F">
      <w:r>
        <w:t xml:space="preserve">Jotta hanke #CitiesHeatDetox menestyisi, kaupunkien on hyödynnettävä hyvinvoinnin eri ulottuvuuksia kokonaisvaltaisen ja tehokkaan puhdistamisen aikaansaamiseksi.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0605387D" w14:textId="77777777" w:rsidTr="00337A76">
        <w:tc>
          <w:tcPr>
            <w:tcW w:w="3005" w:type="dxa"/>
            <w:shd w:val="clear" w:color="auto" w:fill="F2F2F2" w:themeFill="background1" w:themeFillShade="F2"/>
          </w:tcPr>
          <w:p w14:paraId="57A324DE" w14:textId="77777777" w:rsidR="00337A76" w:rsidRDefault="00337A76" w:rsidP="00EA1CAB">
            <w:pPr>
              <w:rPr>
                <w:b/>
                <w:bCs/>
              </w:rPr>
            </w:pPr>
          </w:p>
          <w:p w14:paraId="4905ED69" w14:textId="77777777" w:rsidR="008C1A99" w:rsidRDefault="008C1A99" w:rsidP="00EA1CAB">
            <w:pPr>
              <w:rPr>
                <w:b/>
                <w:bCs/>
              </w:rPr>
            </w:pPr>
            <w:r>
              <w:rPr>
                <w:b/>
              </w:rPr>
              <w:t xml:space="preserve">PÄÄSY TIETOIHIN </w:t>
            </w:r>
          </w:p>
          <w:p w14:paraId="78A32C1B" w14:textId="6A17D3AE" w:rsidR="00EA1CAB" w:rsidRDefault="008C1A99" w:rsidP="00EA1CAB">
            <w:pPr>
              <w:rPr>
                <w:b/>
                <w:bCs/>
              </w:rPr>
            </w:pPr>
            <w:r>
              <w:rPr>
                <w:b/>
              </w:rPr>
              <w:t>Henkinen hyvinvointi</w:t>
            </w:r>
          </w:p>
          <w:p w14:paraId="22E9CC6E" w14:textId="4CA0FCC7" w:rsidR="008748DB" w:rsidRPr="008748DB" w:rsidRDefault="008748DB" w:rsidP="00EA1CAB">
            <w:pPr>
              <w:rPr>
                <w:i/>
                <w:iCs/>
              </w:rPr>
            </w:pPr>
            <w:r>
              <w:rPr>
                <w:i/>
              </w:rPr>
              <w:t>Henkinen ja luova sitoutuminen.</w:t>
            </w:r>
          </w:p>
          <w:p w14:paraId="637FB220" w14:textId="5E1EA0B7" w:rsidR="00EA1CAB" w:rsidRDefault="008748DB" w:rsidP="00EA1CAB">
            <w:r>
              <w:rPr>
                <w:rFonts w:ascii="Source Sans Pro" w:hAnsi="Source Sans Pro"/>
                <w:color w:val="000000" w:themeColor="text1"/>
              </w:rPr>
              <w:t>Pääsy olemassa olevaan kuntien lämmönsuunnittelua ja kaavoitusta koskevaan rakennuskannan tietokantaan</w:t>
            </w:r>
          </w:p>
        </w:tc>
        <w:tc>
          <w:tcPr>
            <w:tcW w:w="3005" w:type="dxa"/>
            <w:shd w:val="clear" w:color="auto" w:fill="F2F2F2" w:themeFill="background1" w:themeFillShade="F2"/>
          </w:tcPr>
          <w:p w14:paraId="7307D429" w14:textId="77777777" w:rsidR="00337A76" w:rsidRDefault="00337A76" w:rsidP="00EA1CAB">
            <w:pPr>
              <w:rPr>
                <w:b/>
                <w:bCs/>
              </w:rPr>
            </w:pPr>
          </w:p>
          <w:p w14:paraId="7A5B4DE7" w14:textId="77777777" w:rsidR="008C1A99" w:rsidRDefault="008C1A99" w:rsidP="00EA1CAB">
            <w:pPr>
              <w:rPr>
                <w:b/>
                <w:bCs/>
              </w:rPr>
            </w:pPr>
            <w:r>
              <w:rPr>
                <w:b/>
              </w:rPr>
              <w:t xml:space="preserve">KUNNALLISET RESURSSIT </w:t>
            </w:r>
          </w:p>
          <w:p w14:paraId="797285EC" w14:textId="3E09500B" w:rsidR="00EA1CAB" w:rsidRDefault="008C1A99" w:rsidP="00EA1CAB">
            <w:pPr>
              <w:rPr>
                <w:b/>
                <w:bCs/>
              </w:rPr>
            </w:pPr>
            <w:r>
              <w:rPr>
                <w:b/>
              </w:rPr>
              <w:t>Fyysinen hyvinvointi</w:t>
            </w:r>
          </w:p>
          <w:p w14:paraId="3EE44447" w14:textId="513F2091" w:rsidR="008748DB" w:rsidRPr="008748DB" w:rsidRDefault="0090324F" w:rsidP="00EA1CAB">
            <w:pPr>
              <w:rPr>
                <w:i/>
                <w:iCs/>
              </w:rPr>
            </w:pPr>
            <w:r>
              <w:rPr>
                <w:i/>
              </w:rPr>
              <w:t>Terveellisen ja tasapainoisen elämänlaadun ylläpitäminen.</w:t>
            </w:r>
          </w:p>
          <w:p w14:paraId="73896F38" w14:textId="169EAC1E" w:rsidR="00EA1CAB" w:rsidRDefault="00EA1CAB" w:rsidP="00EA1CAB">
            <w:r>
              <w:t>Paikalliset valmiudet ja henkilöstö sekä pitkän aikavälin rahoitustuki läm</w:t>
            </w:r>
            <w:r w:rsidR="00AE2618">
              <w:t>p</w:t>
            </w:r>
            <w:r>
              <w:t xml:space="preserve">ösuunnitteluun, uusien ammattilaisten kouluttamiseen ja uusien infrastruktuurien kehittämiseen, </w:t>
            </w:r>
            <w:r>
              <w:lastRenderedPageBreak/>
              <w:t>energianeuvontaan kansalaisille, lainvalvontaan jne.</w:t>
            </w:r>
          </w:p>
          <w:p w14:paraId="10C729D5" w14:textId="77777777" w:rsidR="00EA1CAB" w:rsidRDefault="00EA1CAB" w:rsidP="00EA1CAB">
            <w:r>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0D1576DE" w14:textId="77777777" w:rsidR="00337A76" w:rsidRDefault="00337A76" w:rsidP="00EA1CAB">
            <w:pPr>
              <w:rPr>
                <w:b/>
                <w:bCs/>
              </w:rPr>
            </w:pPr>
          </w:p>
          <w:p w14:paraId="66C9FB0E" w14:textId="77777777" w:rsidR="008C1A99" w:rsidRDefault="008C1A99" w:rsidP="00EA1CAB">
            <w:pPr>
              <w:rPr>
                <w:b/>
                <w:bCs/>
              </w:rPr>
            </w:pPr>
            <w:r>
              <w:rPr>
                <w:b/>
              </w:rPr>
              <w:t>OIKEUDELLINEN KEHYS</w:t>
            </w:r>
          </w:p>
          <w:p w14:paraId="4BBA5E36" w14:textId="6C8ED83D" w:rsidR="00EA1CAB" w:rsidRDefault="008C1A99" w:rsidP="00EA1CAB">
            <w:pPr>
              <w:rPr>
                <w:b/>
                <w:bCs/>
              </w:rPr>
            </w:pPr>
            <w:r>
              <w:rPr>
                <w:b/>
              </w:rPr>
              <w:t>Ympäristön hyvinvointi</w:t>
            </w:r>
          </w:p>
          <w:p w14:paraId="3BB589F5" w14:textId="13A0E34E" w:rsidR="008748DB" w:rsidRPr="008748DB" w:rsidRDefault="008748DB" w:rsidP="00EA1CAB">
            <w:pPr>
              <w:rPr>
                <w:i/>
                <w:iCs/>
              </w:rPr>
            </w:pPr>
            <w:r>
              <w:rPr>
                <w:i/>
              </w:rPr>
              <w:t xml:space="preserve">Turvallisessa ja viihtyisässä ympäristössä ja yhteisössä eläminen. </w:t>
            </w:r>
          </w:p>
          <w:p w14:paraId="47BC69C6" w14:textId="78F593DD" w:rsidR="00EA1CAB" w:rsidRPr="00EA1CAB" w:rsidRDefault="00EA1CAB" w:rsidP="00EA1CAB">
            <w:r>
              <w:t>Oikeudelliset mahdollisuudet toteuttaa energiakaavoitusta ja läm</w:t>
            </w:r>
            <w:r w:rsidR="00AE2618">
              <w:t>p</w:t>
            </w:r>
            <w:r>
              <w:t>ösuunnittelua, kuten velvoite liittää kaukolämpöön</w:t>
            </w:r>
          </w:p>
          <w:p w14:paraId="2232B017" w14:textId="1D4F4E15" w:rsidR="00EA1CAB" w:rsidRDefault="00EA1CAB" w:rsidP="00EA1CAB">
            <w:r>
              <w:t xml:space="preserve">Fossiilisten polttoaineiden rajoittaminen tai kieltäminen, </w:t>
            </w:r>
            <w:r>
              <w:lastRenderedPageBreak/>
              <w:t>kaasun kysynnän vähentämistä tukeva lainsäädäntö</w:t>
            </w:r>
          </w:p>
          <w:p w14:paraId="0D9A300F" w14:textId="77777777" w:rsidR="00EA1CAB" w:rsidRPr="00EA1CAB" w:rsidRDefault="00EA1CAB" w:rsidP="00EA1CAB">
            <w:r>
              <w:t>Rakennusten kaasuverkkoon liittämistä koskevien velvoitteiden poistaminen</w:t>
            </w:r>
          </w:p>
          <w:p w14:paraId="4486E4D2" w14:textId="49B6B70D" w:rsidR="00EA1CAB" w:rsidRPr="00EA1CAB" w:rsidRDefault="00EA1CAB" w:rsidP="0090324F">
            <w:r>
              <w:t>Poistetaan oikeudelliset esteet paikallisten lämpömahdollisuuksien hyödyntämiseksi</w:t>
            </w:r>
          </w:p>
        </w:tc>
      </w:tr>
      <w:tr w:rsidR="00EA1CAB" w14:paraId="616DD41E" w14:textId="77777777" w:rsidTr="00337A76">
        <w:tc>
          <w:tcPr>
            <w:tcW w:w="3005" w:type="dxa"/>
            <w:shd w:val="clear" w:color="auto" w:fill="F2F2F2" w:themeFill="background1" w:themeFillShade="F2"/>
          </w:tcPr>
          <w:p w14:paraId="676000D0" w14:textId="77777777" w:rsidR="00337A76" w:rsidRDefault="00337A76" w:rsidP="008748DB">
            <w:pPr>
              <w:rPr>
                <w:b/>
                <w:bCs/>
              </w:rPr>
            </w:pPr>
          </w:p>
          <w:p w14:paraId="0D64842F" w14:textId="77777777" w:rsidR="008C1A99" w:rsidRDefault="008C1A99" w:rsidP="008748DB">
            <w:pPr>
              <w:rPr>
                <w:b/>
                <w:bCs/>
              </w:rPr>
            </w:pPr>
            <w:r>
              <w:rPr>
                <w:b/>
              </w:rPr>
              <w:t xml:space="preserve">TEKNOLOGINEN SELKEYS </w:t>
            </w:r>
          </w:p>
          <w:p w14:paraId="485F492E" w14:textId="04FEBAC6" w:rsidR="008748DB" w:rsidRDefault="008C1A99" w:rsidP="008748DB">
            <w:pPr>
              <w:rPr>
                <w:b/>
                <w:bCs/>
              </w:rPr>
            </w:pPr>
            <w:r>
              <w:rPr>
                <w:b/>
              </w:rPr>
              <w:t xml:space="preserve">Sielun hyvinvointi </w:t>
            </w:r>
          </w:p>
          <w:p w14:paraId="591360CC" w14:textId="74D159D6" w:rsidR="008748DB" w:rsidRPr="008748DB" w:rsidRDefault="008748DB" w:rsidP="008748DB">
            <w:pPr>
              <w:rPr>
                <w:b/>
                <w:bCs/>
              </w:rPr>
            </w:pPr>
            <w:r>
              <w:rPr>
                <w:i/>
              </w:rPr>
              <w:t>Tarkoituksen ja itsetietoisuuden tun</w:t>
            </w:r>
            <w:r w:rsidR="006F5DE0">
              <w:rPr>
                <w:i/>
              </w:rPr>
              <w:t>ne</w:t>
            </w:r>
            <w:r>
              <w:rPr>
                <w:i/>
              </w:rPr>
              <w:t>.</w:t>
            </w:r>
          </w:p>
          <w:p w14:paraId="72E95A49" w14:textId="77777777" w:rsidR="00EA1CAB" w:rsidRPr="00EA1CAB" w:rsidRDefault="00EA1CAB" w:rsidP="00EA1CAB">
            <w:r>
              <w:t>Selkeys lämmitysjärjestelmistä, aikatauluista ja tukien eriyttämisestä, jotta yritysten omistajille, yleishyödyllisille laitoksille jne. saadaan investointivarmuus.</w:t>
            </w:r>
          </w:p>
          <w:p w14:paraId="1154D1FA" w14:textId="77777777" w:rsidR="00EA1CAB" w:rsidRPr="00EA1CAB" w:rsidRDefault="00EA1CAB" w:rsidP="00EA1CAB">
            <w:pPr>
              <w:rPr>
                <w:lang w:val="en-US"/>
              </w:rPr>
            </w:pPr>
          </w:p>
        </w:tc>
        <w:tc>
          <w:tcPr>
            <w:tcW w:w="3005" w:type="dxa"/>
            <w:shd w:val="clear" w:color="auto" w:fill="F2F2F2" w:themeFill="background1" w:themeFillShade="F2"/>
          </w:tcPr>
          <w:p w14:paraId="0DC20BE3" w14:textId="77777777" w:rsidR="00337A76" w:rsidRDefault="00337A76" w:rsidP="00EA1CAB">
            <w:pPr>
              <w:rPr>
                <w:b/>
                <w:bCs/>
              </w:rPr>
            </w:pPr>
          </w:p>
          <w:p w14:paraId="7C6E9787" w14:textId="77777777" w:rsidR="008C1A99" w:rsidRDefault="008C1A99" w:rsidP="00EA1CAB">
            <w:pPr>
              <w:rPr>
                <w:b/>
                <w:bCs/>
              </w:rPr>
            </w:pPr>
            <w:r>
              <w:rPr>
                <w:b/>
              </w:rPr>
              <w:t xml:space="preserve">KANNUSTIMET JA TUET </w:t>
            </w:r>
          </w:p>
          <w:p w14:paraId="427D77B9" w14:textId="7A005E11" w:rsidR="00EA1CAB" w:rsidRDefault="008C1A99" w:rsidP="00EA1CAB">
            <w:pPr>
              <w:rPr>
                <w:b/>
                <w:bCs/>
              </w:rPr>
            </w:pPr>
            <w:r>
              <w:rPr>
                <w:b/>
              </w:rPr>
              <w:t>Taloudellinen hyvinvointi</w:t>
            </w:r>
          </w:p>
          <w:p w14:paraId="3E403FD1" w14:textId="17830296" w:rsidR="008748DB" w:rsidRPr="008748DB" w:rsidRDefault="008748DB" w:rsidP="008748DB">
            <w:pPr>
              <w:rPr>
                <w:i/>
                <w:iCs/>
              </w:rPr>
            </w:pPr>
            <w:r>
              <w:rPr>
                <w:i/>
              </w:rPr>
              <w:t>Rahoitusvakaus ja ennakointi.</w:t>
            </w:r>
          </w:p>
          <w:p w14:paraId="5CD8BE5F" w14:textId="77777777" w:rsidR="00EA1CAB" w:rsidRDefault="00EA1CAB" w:rsidP="00EA1CAB">
            <w:r>
              <w:t>Taloudelliset kannustimet: hinnat, verot ja tuet investointikustannusten lieventämiseksi</w:t>
            </w:r>
          </w:p>
          <w:p w14:paraId="037F6E42" w14:textId="2F81C653" w:rsidR="00473389" w:rsidRPr="00473389" w:rsidRDefault="00473389" w:rsidP="00473389">
            <w:r>
              <w:t>Paikallisen lämpöpotentiaalin hyödyntämiseen liittyvät kannustimet ja taloudellinen tuki </w:t>
            </w:r>
          </w:p>
          <w:p w14:paraId="7E0830FE" w14:textId="071C3933" w:rsidR="00EA1CAB" w:rsidRPr="00EA1CAB" w:rsidRDefault="00473389" w:rsidP="00337A76">
            <w:r>
              <w:t>Lämmitysjärjestelmien vaihdon edistäminen yhdessä peruskorjauksen kanssa</w:t>
            </w:r>
          </w:p>
        </w:tc>
        <w:tc>
          <w:tcPr>
            <w:tcW w:w="3006" w:type="dxa"/>
            <w:shd w:val="clear" w:color="auto" w:fill="F2F2F2" w:themeFill="background1" w:themeFillShade="F2"/>
          </w:tcPr>
          <w:p w14:paraId="2DD5D859" w14:textId="77777777" w:rsidR="00337A76" w:rsidRDefault="00337A76" w:rsidP="00EA1CAB">
            <w:pPr>
              <w:rPr>
                <w:b/>
                <w:bCs/>
              </w:rPr>
            </w:pPr>
          </w:p>
          <w:p w14:paraId="2CFAF64C" w14:textId="77777777" w:rsidR="008C1A99" w:rsidRDefault="008C1A99" w:rsidP="00EA1CAB">
            <w:pPr>
              <w:rPr>
                <w:b/>
                <w:bCs/>
              </w:rPr>
            </w:pPr>
            <w:r>
              <w:rPr>
                <w:b/>
              </w:rPr>
              <w:t xml:space="preserve">OSUUSTOIMINNALLINEN OIKEUDELLINEN EKOSYSTEEMI </w:t>
            </w:r>
          </w:p>
          <w:p w14:paraId="1F70F7B6" w14:textId="12B4E8BE" w:rsidR="00EA1CAB" w:rsidRDefault="008C1A99" w:rsidP="00EA1CAB">
            <w:pPr>
              <w:rPr>
                <w:b/>
                <w:bCs/>
              </w:rPr>
            </w:pPr>
            <w:r>
              <w:rPr>
                <w:b/>
              </w:rPr>
              <w:t>Sosiaalinen hyvinvointi</w:t>
            </w:r>
          </w:p>
          <w:p w14:paraId="54C4808E" w14:textId="1D647106" w:rsidR="008748DB" w:rsidRPr="008748DB" w:rsidRDefault="008748DB" w:rsidP="008748DB">
            <w:pPr>
              <w:rPr>
                <w:i/>
                <w:iCs/>
              </w:rPr>
            </w:pPr>
            <w:r>
              <w:rPr>
                <w:i/>
              </w:rPr>
              <w:t>Yhteyden tunne ja merkityksellisten suhteiden vaaliminen.</w:t>
            </w:r>
          </w:p>
          <w:p w14:paraId="24FE4C07" w14:textId="634D3C79" w:rsidR="00EA1CAB" w:rsidRDefault="00EA1CAB" w:rsidP="00EA1CAB">
            <w:r>
              <w:t>Kannustimet ja selvät edut kansalaisille, jotta he voivat liittyä kaukolämpöön mahdollisuuksien mukaan ja osallistua lämmönsiirtoon</w:t>
            </w:r>
          </w:p>
          <w:p w14:paraId="1B4C83ED" w14:textId="66DAB203" w:rsidR="00EA1CAB" w:rsidRPr="00EA1CAB" w:rsidRDefault="00EA1CAB" w:rsidP="008748DB">
            <w:r>
              <w:t>Energiapalveluyritysten hyödyntäminen neuvontapisteiden kehittämisestä energiakaupunkien omistamien yritysten kanssa työskentelyyn</w:t>
            </w:r>
          </w:p>
        </w:tc>
      </w:tr>
    </w:tbl>
    <w:p w14:paraId="2BBAC60C" w14:textId="77777777" w:rsidR="00EA1CAB" w:rsidRDefault="00EA1CAB" w:rsidP="00EA1CAB"/>
    <w:p w14:paraId="3B7A0271" w14:textId="77777777" w:rsidR="00046A23" w:rsidRPr="00516C9B" w:rsidRDefault="00046A23" w:rsidP="00046A23">
      <w:pPr>
        <w:pStyle w:val="Heading1"/>
      </w:pPr>
      <w:r>
        <w:t>Toimintakehotus</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EB9E027" w:rsidR="00046A23" w:rsidRPr="0057788C" w:rsidRDefault="00046A23" w:rsidP="004C6886">
            <w:pPr>
              <w:jc w:val="center"/>
            </w:pPr>
            <w:r>
              <w:t>Tehdään asia selväksi</w:t>
            </w:r>
            <w:r w:rsidR="00E60F64">
              <w:t>:</w:t>
            </w:r>
            <w:r>
              <w:t xml:space="preserve"> </w:t>
            </w:r>
            <w:r w:rsidR="00E60F64">
              <w:t>t</w:t>
            </w:r>
            <w:r>
              <w:t>erve lämpöenergia kaupungeissa tarkoittaa tervettä tulevaisuutta Euroopalle!</w:t>
            </w:r>
          </w:p>
          <w:p w14:paraId="2A7A9CDA" w14:textId="77777777" w:rsidR="00046A23" w:rsidRDefault="00046A23" w:rsidP="004C6886">
            <w:pPr>
              <w:jc w:val="center"/>
              <w:rPr>
                <w:b/>
                <w:bCs/>
              </w:rPr>
            </w:pPr>
            <w:r>
              <w:rPr>
                <w:b/>
              </w:rPr>
              <w:t>Tilaa kampanja.</w:t>
            </w:r>
          </w:p>
          <w:p w14:paraId="68684527" w14:textId="5AE36585" w:rsidR="00974AED" w:rsidRPr="00974AED" w:rsidRDefault="006962E6" w:rsidP="004C6886">
            <w:pPr>
              <w:jc w:val="center"/>
              <w:rPr>
                <w:color w:val="0059AA"/>
              </w:rPr>
            </w:pPr>
            <w:r>
              <w:rPr>
                <w:color w:val="0059AA"/>
              </w:rPr>
              <w:t>Vastaanota</w:t>
            </w:r>
            <w:r w:rsidR="00974AED">
              <w:rPr>
                <w:color w:val="0059AA"/>
              </w:rPr>
              <w:t xml:space="preserve"> kampanjapäivityksiä ja </w:t>
            </w:r>
            <w:r w:rsidR="0050765C">
              <w:rPr>
                <w:color w:val="0059AA"/>
              </w:rPr>
              <w:t>osallistumis</w:t>
            </w:r>
            <w:r w:rsidR="00974AED">
              <w:rPr>
                <w:color w:val="0059AA"/>
              </w:rPr>
              <w:t>mahdollisuuksia.</w:t>
            </w:r>
          </w:p>
          <w:p w14:paraId="26DC00A5" w14:textId="5637A52D" w:rsidR="00974AED" w:rsidRPr="00974AED" w:rsidRDefault="0080184D" w:rsidP="004C6886">
            <w:pPr>
              <w:jc w:val="center"/>
            </w:pPr>
            <w:hyperlink r:id="rId15" w:history="1">
              <w:r>
                <w:rPr>
                  <w:rStyle w:val="Hyperlink"/>
                  <w:color w:val="0059AA"/>
                </w:rPr>
                <w:t>Linkki kampanjan verkkosivulle.</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7777777" w:rsidR="00046A23" w:rsidRPr="0057788C" w:rsidRDefault="00046A23" w:rsidP="004C6886">
            <w:pPr>
              <w:jc w:val="center"/>
            </w:pPr>
            <w:r>
              <w:t>Oletko innokas, mutta kamppailet puhdistaaksesi kaupunkisi lämpöenergiaa?</w:t>
            </w:r>
          </w:p>
          <w:p w14:paraId="3F237B7E" w14:textId="77777777" w:rsidR="00046A23" w:rsidRDefault="00046A23" w:rsidP="004C6886">
            <w:pPr>
              <w:jc w:val="center"/>
              <w:rPr>
                <w:b/>
                <w:bCs/>
              </w:rPr>
            </w:pPr>
            <w:r>
              <w:rPr>
                <w:b/>
              </w:rPr>
              <w:lastRenderedPageBreak/>
              <w:t>Etsi inspiraatiota.</w:t>
            </w:r>
          </w:p>
          <w:p w14:paraId="13931434" w14:textId="3359A675" w:rsidR="00974AED" w:rsidRPr="007B2D00" w:rsidRDefault="00974AED" w:rsidP="007B2D00">
            <w:pPr>
              <w:jc w:val="center"/>
              <w:rPr>
                <w:color w:val="0059AA"/>
              </w:rPr>
            </w:pPr>
            <w:r>
              <w:rPr>
                <w:color w:val="0059AA"/>
              </w:rPr>
              <w:t xml:space="preserve">Lämpöenergian </w:t>
            </w:r>
            <w:r w:rsidR="00A846B5">
              <w:rPr>
                <w:color w:val="0059AA"/>
              </w:rPr>
              <w:t>Detox-</w:t>
            </w:r>
            <w:r>
              <w:rPr>
                <w:color w:val="0059AA"/>
              </w:rPr>
              <w:t>kart</w:t>
            </w:r>
            <w:r w:rsidR="00626F51">
              <w:rPr>
                <w:color w:val="0059AA"/>
              </w:rPr>
              <w:t>asta</w:t>
            </w:r>
            <w:r>
              <w:rPr>
                <w:color w:val="0059AA"/>
              </w:rPr>
              <w:t xml:space="preserve">mme.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lastRenderedPageBreak/>
              <w:t>Oletko jo puhdistamassa kaupunkisi lämpöenergiaa?</w:t>
            </w:r>
          </w:p>
          <w:p w14:paraId="60AB56B9" w14:textId="62333E62" w:rsidR="00046A23" w:rsidRDefault="00046A23" w:rsidP="004C6886">
            <w:pPr>
              <w:jc w:val="center"/>
              <w:rPr>
                <w:b/>
                <w:bCs/>
              </w:rPr>
            </w:pPr>
            <w:r>
              <w:rPr>
                <w:b/>
              </w:rPr>
              <w:t xml:space="preserve">Esittele </w:t>
            </w:r>
            <w:r w:rsidR="0020793F">
              <w:rPr>
                <w:b/>
              </w:rPr>
              <w:t>detox-</w:t>
            </w:r>
            <w:r>
              <w:rPr>
                <w:b/>
              </w:rPr>
              <w:t>sekoituksesi.</w:t>
            </w:r>
          </w:p>
          <w:p w14:paraId="5BBBEA9D" w14:textId="052D1CFF" w:rsidR="00974AED" w:rsidRPr="007B2D00" w:rsidRDefault="00626F51" w:rsidP="007B2D00">
            <w:pPr>
              <w:jc w:val="center"/>
              <w:rPr>
                <w:color w:val="0059AA"/>
              </w:rPr>
            </w:pPr>
            <w:r>
              <w:rPr>
                <w:color w:val="0059AA"/>
              </w:rPr>
              <w:lastRenderedPageBreak/>
              <w:t xml:space="preserve">Käyttämällä </w:t>
            </w:r>
            <w:r w:rsidR="00A846B5">
              <w:rPr>
                <w:color w:val="0059AA"/>
              </w:rPr>
              <w:t>Detox-</w:t>
            </w:r>
            <w:r w:rsidR="00974AED">
              <w:rPr>
                <w:color w:val="0059AA"/>
              </w:rPr>
              <w:t>viestintäpaket</w:t>
            </w:r>
            <w:r>
              <w:rPr>
                <w:color w:val="0059AA"/>
              </w:rPr>
              <w:t>tia</w:t>
            </w:r>
            <w:r w:rsidR="00974AED">
              <w:rPr>
                <w:color w:val="0059AA"/>
              </w:rPr>
              <w:t xml:space="preserve">.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lastRenderedPageBreak/>
              <w:t>Mitä kaupunkisi tarvitsee onnistuneeseen #CitiesHeatDetox-hankkeeseen?</w:t>
            </w:r>
          </w:p>
          <w:p w14:paraId="2BB2B687" w14:textId="77777777" w:rsidR="00046A23" w:rsidRDefault="00046A23" w:rsidP="004C6886">
            <w:pPr>
              <w:jc w:val="center"/>
              <w:rPr>
                <w:b/>
                <w:bCs/>
              </w:rPr>
            </w:pPr>
            <w:r>
              <w:rPr>
                <w:b/>
              </w:rPr>
              <w:t>Jaa tarinasi!</w:t>
            </w:r>
          </w:p>
          <w:p w14:paraId="3CC79A59" w14:textId="7A44CEA1" w:rsidR="00974AED" w:rsidRPr="007B2D00" w:rsidRDefault="00F3492D" w:rsidP="007B2D00">
            <w:pPr>
              <w:jc w:val="center"/>
              <w:rPr>
                <w:color w:val="0059AA"/>
              </w:rPr>
            </w:pPr>
            <w:r>
              <w:rPr>
                <w:color w:val="0059AA"/>
              </w:rPr>
              <w:t xml:space="preserve">Käyttämällä </w:t>
            </w:r>
            <w:r w:rsidR="00A846B5">
              <w:rPr>
                <w:color w:val="0059AA"/>
              </w:rPr>
              <w:t>Detox-</w:t>
            </w:r>
            <w:r w:rsidR="0071528D">
              <w:rPr>
                <w:color w:val="0059AA"/>
              </w:rPr>
              <w:t>viestintäpaket</w:t>
            </w:r>
            <w:r>
              <w:rPr>
                <w:color w:val="0059AA"/>
              </w:rPr>
              <w:t>tia</w:t>
            </w:r>
            <w:r w:rsidR="0071528D">
              <w:rPr>
                <w:color w:val="0059AA"/>
              </w:rPr>
              <w:t xml:space="preserve">. </w:t>
            </w:r>
          </w:p>
        </w:tc>
      </w:tr>
    </w:tbl>
    <w:p w14:paraId="0E974FEB"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A0CE8" w14:textId="77777777" w:rsidR="00C91581" w:rsidRDefault="00C91581" w:rsidP="00046A23">
      <w:r>
        <w:separator/>
      </w:r>
    </w:p>
  </w:endnote>
  <w:endnote w:type="continuationSeparator" w:id="0">
    <w:p w14:paraId="5C7FB704" w14:textId="77777777" w:rsidR="00C91581" w:rsidRDefault="00C91581"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75B7CF7B" w:rsidR="00E82943" w:rsidRPr="00046A23" w:rsidRDefault="00533D62" w:rsidP="00046A23">
    <w:pPr>
      <w:pStyle w:val="Header"/>
    </w:pPr>
    <w:r>
      <w:rPr>
        <w:b/>
      </w:rPr>
      <w:t>Keskeinen</w:t>
    </w:r>
    <w:r w:rsidR="00D55CE7">
      <w:rPr>
        <w:b/>
      </w:rPr>
      <w:t xml:space="preserve"> viestintä</w:t>
    </w:r>
    <w:r w:rsidR="00046A23">
      <w:t xml:space="preserve"> - Kaupunginjohtajien yleiskokouksen kampanja vuosina </w:t>
    </w:r>
    <w:r w:rsidR="001D7035">
      <w:t xml:space="preserve">2024–2025 </w:t>
    </w:r>
    <w:r w:rsidR="001D7035">
      <w:tab/>
    </w:r>
    <w:r w:rsidR="00046A23">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A26E0F" w14:textId="77777777" w:rsidR="00C91581" w:rsidRDefault="00C91581" w:rsidP="00046A23">
      <w:r>
        <w:separator/>
      </w:r>
    </w:p>
  </w:footnote>
  <w:footnote w:type="continuationSeparator" w:id="0">
    <w:p w14:paraId="31C3E131" w14:textId="77777777" w:rsidR="00C91581" w:rsidRDefault="00C91581"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46ECF"/>
    <w:rsid w:val="000A1769"/>
    <w:rsid w:val="000A49E1"/>
    <w:rsid w:val="000B1BCC"/>
    <w:rsid w:val="000E70B5"/>
    <w:rsid w:val="00142A06"/>
    <w:rsid w:val="001617F0"/>
    <w:rsid w:val="00161AFC"/>
    <w:rsid w:val="00166C53"/>
    <w:rsid w:val="00184976"/>
    <w:rsid w:val="001D7035"/>
    <w:rsid w:val="00201747"/>
    <w:rsid w:val="0020793F"/>
    <w:rsid w:val="002148E5"/>
    <w:rsid w:val="00215320"/>
    <w:rsid w:val="002210B7"/>
    <w:rsid w:val="002434A0"/>
    <w:rsid w:val="00270DB3"/>
    <w:rsid w:val="002715A6"/>
    <w:rsid w:val="002770E4"/>
    <w:rsid w:val="002822ED"/>
    <w:rsid w:val="00287972"/>
    <w:rsid w:val="00297D1D"/>
    <w:rsid w:val="002D2697"/>
    <w:rsid w:val="00330FF4"/>
    <w:rsid w:val="00337A76"/>
    <w:rsid w:val="003B1BD4"/>
    <w:rsid w:val="003E1EBD"/>
    <w:rsid w:val="00463851"/>
    <w:rsid w:val="00473389"/>
    <w:rsid w:val="004C3998"/>
    <w:rsid w:val="005058B8"/>
    <w:rsid w:val="0050765C"/>
    <w:rsid w:val="00512F61"/>
    <w:rsid w:val="00533D62"/>
    <w:rsid w:val="00582475"/>
    <w:rsid w:val="005A2121"/>
    <w:rsid w:val="005A7E29"/>
    <w:rsid w:val="005B0E1C"/>
    <w:rsid w:val="005B43E6"/>
    <w:rsid w:val="005C74C8"/>
    <w:rsid w:val="005F1B0D"/>
    <w:rsid w:val="00626F51"/>
    <w:rsid w:val="006609AC"/>
    <w:rsid w:val="006962E6"/>
    <w:rsid w:val="006B441F"/>
    <w:rsid w:val="006B70EB"/>
    <w:rsid w:val="006D0942"/>
    <w:rsid w:val="006F5DE0"/>
    <w:rsid w:val="0071528D"/>
    <w:rsid w:val="007849FB"/>
    <w:rsid w:val="007B2D00"/>
    <w:rsid w:val="007B7B4D"/>
    <w:rsid w:val="007D5ED3"/>
    <w:rsid w:val="007F2F1A"/>
    <w:rsid w:val="0080184D"/>
    <w:rsid w:val="00806C72"/>
    <w:rsid w:val="00811AE0"/>
    <w:rsid w:val="0085119A"/>
    <w:rsid w:val="008748DB"/>
    <w:rsid w:val="008A1451"/>
    <w:rsid w:val="008C1A99"/>
    <w:rsid w:val="0090324F"/>
    <w:rsid w:val="00920D6F"/>
    <w:rsid w:val="0092104B"/>
    <w:rsid w:val="009313F9"/>
    <w:rsid w:val="00934CFD"/>
    <w:rsid w:val="00974AED"/>
    <w:rsid w:val="009A6F4F"/>
    <w:rsid w:val="009D2ABB"/>
    <w:rsid w:val="00A22A47"/>
    <w:rsid w:val="00A66D3F"/>
    <w:rsid w:val="00A846B5"/>
    <w:rsid w:val="00AA1CC1"/>
    <w:rsid w:val="00AA432C"/>
    <w:rsid w:val="00AE2618"/>
    <w:rsid w:val="00AE2775"/>
    <w:rsid w:val="00B02EC3"/>
    <w:rsid w:val="00B72943"/>
    <w:rsid w:val="00BF7DEC"/>
    <w:rsid w:val="00C51B7E"/>
    <w:rsid w:val="00C71221"/>
    <w:rsid w:val="00C76133"/>
    <w:rsid w:val="00C91581"/>
    <w:rsid w:val="00CA04C0"/>
    <w:rsid w:val="00CB2AD2"/>
    <w:rsid w:val="00CE4518"/>
    <w:rsid w:val="00CE714A"/>
    <w:rsid w:val="00D03DBD"/>
    <w:rsid w:val="00D2554D"/>
    <w:rsid w:val="00D37FB9"/>
    <w:rsid w:val="00D50904"/>
    <w:rsid w:val="00D55CE7"/>
    <w:rsid w:val="00D76C74"/>
    <w:rsid w:val="00D864B8"/>
    <w:rsid w:val="00E60F64"/>
    <w:rsid w:val="00E70D98"/>
    <w:rsid w:val="00E82943"/>
    <w:rsid w:val="00E968CC"/>
    <w:rsid w:val="00EA1CAB"/>
    <w:rsid w:val="00EC75A8"/>
    <w:rsid w:val="00F20BF8"/>
    <w:rsid w:val="00F3492D"/>
    <w:rsid w:val="00F41A9C"/>
    <w:rsid w:val="00F529AC"/>
    <w:rsid w:val="00F538F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i-FI"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fi-FI"/>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fi-FI"/>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C158F837-6871-4F49-A549-59430018FE0A}"/>
</file>

<file path=customXml/itemProps3.xml><?xml version="1.0" encoding="utf-8"?>
<ds:datastoreItem xmlns:ds="http://schemas.openxmlformats.org/officeDocument/2006/customXml" ds:itemID="{C1FC9E67-5FEC-444F-8D8F-68F085534257}"/>
</file>

<file path=customXml/itemProps4.xml><?xml version="1.0" encoding="utf-8"?>
<ds:datastoreItem xmlns:ds="http://schemas.openxmlformats.org/officeDocument/2006/customXml" ds:itemID="{8DE9B132-521B-4CA5-A29E-A2281F5B42D4}"/>
</file>

<file path=docProps/app.xml><?xml version="1.0" encoding="utf-8"?>
<Properties xmlns="http://schemas.openxmlformats.org/officeDocument/2006/extended-properties" xmlns:vt="http://schemas.openxmlformats.org/officeDocument/2006/docPropsVTypes">
  <Template>Normal.dotm</Template>
  <TotalTime>34</TotalTime>
  <Pages>6</Pages>
  <Words>1214</Words>
  <Characters>6922</Characters>
  <Application>Microsoft Office Word</Application>
  <DocSecurity>0</DocSecurity>
  <Lines>57</Lines>
  <Paragraphs>16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32</cp:revision>
  <dcterms:created xsi:type="dcterms:W3CDTF">2024-08-05T15:20:00Z</dcterms:created>
  <dcterms:modified xsi:type="dcterms:W3CDTF">2024-08-07T15:09:00Z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