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0A6C75" w:rsidRDefault="00EC75A8" w:rsidP="00046A23">
      <w:r w:rsidRPr="000A6C75">
        <w:rPr>
          <w:noProof/>
        </w:rPr>
        <w:drawing>
          <wp:anchor distT="0" distB="0" distL="114300" distR="114300" simplePos="0" relativeHeight="251659264" behindDoc="0" locked="0" layoutInCell="1" allowOverlap="1" wp14:anchorId="5DE194DB" wp14:editId="03C8EBC1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6C75">
        <w:rPr>
          <w:noProof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13C8CD0A" w:rsidR="00E82943" w:rsidRPr="000A6C75" w:rsidRDefault="00544A00" w:rsidP="00046A23">
      <w:r w:rsidRPr="000A6C7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7BAEC899">
                <wp:simplePos x="0" y="0"/>
                <wp:positionH relativeFrom="column">
                  <wp:posOffset>2424023</wp:posOffset>
                </wp:positionH>
                <wp:positionV relativeFrom="paragraph">
                  <wp:posOffset>6566079</wp:posOffset>
                </wp:positionV>
                <wp:extent cx="3495675" cy="1656271"/>
                <wp:effectExtent l="0" t="0" r="0" b="127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65627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le"/>
                            </w:pPr>
                            <w:r>
                              <w:t xml:space="preserve">Najważniejsze </w:t>
                            </w:r>
                            <w:r>
                              <w:rPr>
                                <w:b w:val="0"/>
                              </w:rPr>
                              <w:t>wiadomości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Heading2"/>
                            </w:pPr>
                            <w:r>
                              <w:t>Kampania 2024-2025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0.85pt;margin-top:517pt;width:275.25pt;height:13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ytu"/>
                      </w:pPr>
                      <w:r>
                        <w:t xml:space="preserve">Najważniejsze </w:t>
                      </w:r>
                      <w:r>
                        <w:rPr>
                          <w:b w:val="0"/>
                        </w:rPr>
                        <w:t>wiadomości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Nagwek2"/>
                      </w:pPr>
                      <w:r>
                        <w:t>Kampania 2024-2025</w:t>
                      </w:r>
                    </w:p>
                  </w:txbxContent>
                </v:textbox>
              </v:shape>
            </w:pict>
          </mc:Fallback>
        </mc:AlternateContent>
      </w:r>
      <w:r w:rsidR="00EC75A8" w:rsidRPr="000A6C75">
        <w:rPr>
          <w:noProof/>
        </w:rPr>
        <w:drawing>
          <wp:anchor distT="0" distB="0" distL="114300" distR="114300" simplePos="0" relativeHeight="251661312" behindDoc="0" locked="0" layoutInCell="1" allowOverlap="1" wp14:anchorId="70438793" wp14:editId="3C519C1B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5A8" w:rsidRPr="000A6C75">
        <w:rPr>
          <w:noProof/>
        </w:rPr>
        <w:drawing>
          <wp:anchor distT="0" distB="0" distL="114300" distR="114300" simplePos="0" relativeHeight="251660288" behindDoc="0" locked="0" layoutInCell="1" allowOverlap="1" wp14:anchorId="12036A29" wp14:editId="18760C77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5A8" w:rsidRPr="000A6C75">
        <w:rPr>
          <w:noProof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5A8" w:rsidRPr="000A6C75">
        <w:rPr>
          <w:noProof/>
          <w:sz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C75A8" w:rsidRPr="000A6C75">
        <w:br w:type="page"/>
      </w:r>
    </w:p>
    <w:p w14:paraId="47F8665C" w14:textId="77777777" w:rsidR="00046A23" w:rsidRPr="000A6C75" w:rsidRDefault="00046A23" w:rsidP="00046A23">
      <w:pPr>
        <w:pStyle w:val="Heading1"/>
      </w:pPr>
      <w:r w:rsidRPr="000A6C75">
        <w:rPr>
          <w:rStyle w:val="TitleChar"/>
        </w:rPr>
        <w:lastRenderedPageBreak/>
        <w:t>Podsumowanie</w:t>
      </w:r>
      <w:r w:rsidRPr="000A6C75">
        <w:rPr>
          <w:rStyle w:val="TitleChar"/>
          <w:b/>
        </w:rPr>
        <w:t xml:space="preserve"> kampanii</w:t>
      </w:r>
    </w:p>
    <w:p w14:paraId="1F7BBCF4" w14:textId="77777777" w:rsidR="00046A23" w:rsidRPr="000A6C75" w:rsidRDefault="00046A23" w:rsidP="00046A23">
      <w:pPr>
        <w:pStyle w:val="Heading2"/>
      </w:pPr>
      <w:r w:rsidRPr="000A6C75">
        <w:t>Nazwa kampanii</w:t>
      </w:r>
    </w:p>
    <w:p w14:paraId="690C94D6" w14:textId="77777777" w:rsidR="00046A23" w:rsidRPr="000A6C75" w:rsidRDefault="00046A23" w:rsidP="00046A23">
      <w:r w:rsidRPr="000A6C75">
        <w:t>Detoks miejskich systemów ciepłowniczych.</w:t>
      </w:r>
    </w:p>
    <w:p w14:paraId="22B6B86D" w14:textId="77777777" w:rsidR="00046A23" w:rsidRPr="000A6C75" w:rsidRDefault="00046A23" w:rsidP="00046A23">
      <w:pPr>
        <w:pStyle w:val="Heading2"/>
      </w:pPr>
      <w:r w:rsidRPr="000A6C75">
        <w:t>Temat kampanii</w:t>
      </w:r>
    </w:p>
    <w:p w14:paraId="56CDE98A" w14:textId="1D97F470" w:rsidR="00046A23" w:rsidRPr="000A6C75" w:rsidRDefault="00046A23" w:rsidP="00046A23">
      <w:r w:rsidRPr="000A6C75">
        <w:t xml:space="preserve">Dekarbonizacja miejskich systemów ciepłowniczych zgodnie z unijnym planem </w:t>
      </w:r>
      <w:r w:rsidR="00544A00" w:rsidRPr="000A6C75">
        <w:t>odstąpienia od</w:t>
      </w:r>
      <w:r w:rsidRPr="000A6C75">
        <w:t xml:space="preserve"> gazu.</w:t>
      </w:r>
    </w:p>
    <w:p w14:paraId="348538F6" w14:textId="77777777" w:rsidR="00046A23" w:rsidRPr="000A6C75" w:rsidRDefault="00046A23" w:rsidP="00046A23">
      <w:pPr>
        <w:pStyle w:val="Heading2"/>
      </w:pPr>
      <w:r w:rsidRPr="000A6C75">
        <w:t>Czas trwania kampanii</w:t>
      </w:r>
    </w:p>
    <w:p w14:paraId="75E7096F" w14:textId="77777777" w:rsidR="00046A23" w:rsidRPr="000A6C75" w:rsidRDefault="00046A23" w:rsidP="00046A23">
      <w:r w:rsidRPr="000A6C75">
        <w:t>Czerwiec 2024 – czerwiec 2025</w:t>
      </w:r>
    </w:p>
    <w:p w14:paraId="3B61DFE2" w14:textId="77777777" w:rsidR="00046A23" w:rsidRPr="000A6C75" w:rsidRDefault="00046A23" w:rsidP="00046A23">
      <w:pPr>
        <w:pStyle w:val="Heading2"/>
      </w:pPr>
      <w:r w:rsidRPr="000A6C75">
        <w:t>Informacje ogólne</w:t>
      </w:r>
    </w:p>
    <w:p w14:paraId="34D6C4FB" w14:textId="128C3CAF" w:rsidR="00046A23" w:rsidRPr="000A6C75" w:rsidRDefault="00046A23" w:rsidP="00046A23">
      <w:r w:rsidRPr="000A6C75">
        <w:t>Kampania służy zwróceniu uwagi na to, że kluczową rolę w realizacji europejskich ambicji związanych z dążeniem do stopniowej rezygnacji z gazu w UE odgrywa dekarbonizacja miejskich sieci ciepłowniczych. Poprzez zakrojone na szeroką skalę działania ma ona na celu podniesienie świadomości i umożliwienie samorządom rezygnacj</w:t>
      </w:r>
      <w:r w:rsidR="00544A00" w:rsidRPr="000A6C75">
        <w:t>i</w:t>
      </w:r>
      <w:r w:rsidRPr="000A6C75">
        <w:t xml:space="preserve"> z paliw kopalnych w drodze kompleksowego planowania sieci ciepłowniczych i zastosowanie zrównoważonych rozwiązań w zakresie zbiorowych miejskich systemów ciepłowniczych. W tym celu kampania będzie szczególnie poświęcona dodatkowym korzyściom wynikającym z dekarbonizacji ciepłownictwa w miastach, tj. poprawie jakości powietrza, zwiększeniu nowoczesności gospodarki i poprawie bezpieczeństwa energetycznego. </w:t>
      </w:r>
    </w:p>
    <w:p w14:paraId="2E4FAFE5" w14:textId="77777777" w:rsidR="00046A23" w:rsidRPr="000A6C75" w:rsidRDefault="00046A23" w:rsidP="00046A23">
      <w:pPr>
        <w:pStyle w:val="Heading1"/>
      </w:pPr>
      <w:r w:rsidRPr="000A6C75">
        <w:rPr>
          <w:rStyle w:val="TitleChar"/>
          <w:b/>
        </w:rPr>
        <w:t>Kampania</w:t>
      </w:r>
      <w:r w:rsidRPr="000A6C75">
        <w:rPr>
          <w:rStyle w:val="TitleChar"/>
        </w:rPr>
        <w:t xml:space="preserve"> w pigułce</w:t>
      </w:r>
    </w:p>
    <w:p w14:paraId="421BAE72" w14:textId="593266EC" w:rsidR="00046A23" w:rsidRPr="000A6C75" w:rsidRDefault="00046A23" w:rsidP="00046A23">
      <w:pPr>
        <w:pStyle w:val="Heading2"/>
        <w:rPr>
          <w:u w:val="single"/>
        </w:rPr>
      </w:pPr>
      <w:r w:rsidRPr="000A6C75">
        <w:rPr>
          <w:u w:val="single"/>
        </w:rPr>
        <w:t>Detoks m</w:t>
      </w:r>
      <w:r w:rsidR="000A6C75" w:rsidRPr="000A6C75">
        <w:rPr>
          <w:u w:val="single"/>
        </w:rPr>
        <w:t>i</w:t>
      </w:r>
      <w:r w:rsidRPr="000A6C75">
        <w:rPr>
          <w:u w:val="single"/>
        </w:rPr>
        <w:t xml:space="preserve">ejskich systemów </w:t>
      </w:r>
      <w:r w:rsidR="000A6C75">
        <w:rPr>
          <w:u w:val="single"/>
        </w:rPr>
        <w:t>ciepłowniczych</w:t>
      </w:r>
    </w:p>
    <w:p w14:paraId="3B00257A" w14:textId="77777777" w:rsidR="00046A23" w:rsidRPr="000A6C75" w:rsidRDefault="00046A23" w:rsidP="00046A23">
      <w:pPr>
        <w:pStyle w:val="Heading2"/>
      </w:pPr>
      <w:r w:rsidRPr="000A6C75">
        <w:t>Zdrowe ciepło dla miast</w:t>
      </w:r>
    </w:p>
    <w:p w14:paraId="0FAA9FE7" w14:textId="6FC57097" w:rsidR="00046A23" w:rsidRPr="000A6C75" w:rsidRDefault="00046A23" w:rsidP="00046A23">
      <w:pPr>
        <w:spacing w:after="0"/>
        <w:rPr>
          <w:color w:val="000000" w:themeColor="text1"/>
        </w:rPr>
      </w:pPr>
      <w:r w:rsidRPr="000A6C75">
        <w:rPr>
          <w:color w:val="000000" w:themeColor="text1"/>
        </w:rPr>
        <w:t>Czystsze powietrze, silniejsza gospodarka i bardziej odporn</w:t>
      </w:r>
      <w:r w:rsidR="006E7FFD">
        <w:rPr>
          <w:color w:val="000000" w:themeColor="text1"/>
        </w:rPr>
        <w:t>e</w:t>
      </w:r>
      <w:r w:rsidRPr="000A6C75">
        <w:rPr>
          <w:color w:val="000000" w:themeColor="text1"/>
        </w:rPr>
        <w:t xml:space="preserve"> społeczeństwo.</w:t>
      </w:r>
    </w:p>
    <w:p w14:paraId="1FC50795" w14:textId="77777777" w:rsidR="00046A23" w:rsidRPr="000A6C75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0A6C75" w:rsidRDefault="00046A23" w:rsidP="00046A23">
      <w:pPr>
        <w:spacing w:after="0"/>
        <w:rPr>
          <w:i/>
          <w:iCs/>
          <w:color w:val="000000" w:themeColor="text1"/>
        </w:rPr>
      </w:pPr>
      <w:r w:rsidRPr="000A6C75">
        <w:rPr>
          <w:i/>
          <w:color w:val="000000" w:themeColor="text1"/>
        </w:rPr>
        <w:t>#HealthyHeat4Cities #CitiesHeatDetox</w:t>
      </w:r>
    </w:p>
    <w:p w14:paraId="4EF265DF" w14:textId="77777777" w:rsidR="00046A23" w:rsidRPr="000A6C75" w:rsidRDefault="00046A23" w:rsidP="00046A23">
      <w:pPr>
        <w:spacing w:after="0"/>
      </w:pPr>
    </w:p>
    <w:p w14:paraId="443AF6E6" w14:textId="047D46CC" w:rsidR="00046A23" w:rsidRPr="000A6C75" w:rsidRDefault="00046A23" w:rsidP="00046A23">
      <w:pPr>
        <w:spacing w:after="0"/>
      </w:pPr>
      <w:r w:rsidRPr="000A6C75">
        <w:t xml:space="preserve">Obecnie stosowane rozwiązania ciepłownicze polegające na spalaniu paliw kopalnych są szkodliwe dla środowiska, zdrowia i społeczeństwa. Ogrzewanie oparte na paliwach kopalnych wykorzystywane obecnie w 72% budynków w Europie przyczynia się do zmian klimatu, braku bezpieczeństwa energetycznego i pogorszenia jakości powietrza. Nie ma wątpliwości, że aby zapewnić sobie zdrowszą i bezpieczniejszą przyszłość, miasta potrzebują kompleksowego oczyszczenia z toksycznych źródeł ciepła. </w:t>
      </w:r>
    </w:p>
    <w:p w14:paraId="251EBC0F" w14:textId="77777777" w:rsidR="00046A23" w:rsidRPr="000A6C75" w:rsidRDefault="00046A23" w:rsidP="00046A23">
      <w:pPr>
        <w:spacing w:after="0"/>
      </w:pPr>
    </w:p>
    <w:p w14:paraId="27215182" w14:textId="5511AFFD" w:rsidR="00046A23" w:rsidRPr="000A6C75" w:rsidRDefault="00046A23" w:rsidP="00046A23">
      <w:pPr>
        <w:spacing w:after="0"/>
      </w:pPr>
      <w:r w:rsidRPr="000A6C75">
        <w:t>Mają one także potencjał, by wiele zmienić. Dzięki skutecznemu planowaniu sieci ciepłowniczych i rozbudowie rozwiązań zbiorowych, takich jak zdekarbonizowane miejskie systemy ciepłownicze, samorządy mogą w dużej mierze zrezygnować z gaz</w:t>
      </w:r>
      <w:r w:rsidR="006E7FFD">
        <w:t>u</w:t>
      </w:r>
      <w:r w:rsidRPr="000A6C75">
        <w:t xml:space="preserve"> jako źródła ciepła. </w:t>
      </w:r>
    </w:p>
    <w:p w14:paraId="4440BBB2" w14:textId="77777777" w:rsidR="00046A23" w:rsidRPr="000A6C75" w:rsidRDefault="00046A23" w:rsidP="00046A23">
      <w:pPr>
        <w:spacing w:after="0"/>
      </w:pPr>
    </w:p>
    <w:p w14:paraId="026D82D8" w14:textId="605DC05F" w:rsidR="00046A23" w:rsidRPr="000A6C75" w:rsidRDefault="00046A23" w:rsidP="00046A23">
      <w:pPr>
        <w:spacing w:after="0"/>
        <w:rPr>
          <w:b/>
          <w:bCs/>
        </w:rPr>
      </w:pPr>
      <w:r w:rsidRPr="000A6C75">
        <w:rPr>
          <w:b/>
        </w:rPr>
        <w:t xml:space="preserve">Dołącz do ruchu europejskich miast, które stawiają na detoks źródeł ciepła, wybierając bezpieczną i zdrową przyszłość dla wszystkich. </w:t>
      </w:r>
    </w:p>
    <w:p w14:paraId="16802A38" w14:textId="71EFCE7B" w:rsidR="00046A23" w:rsidRPr="000A6C75" w:rsidRDefault="00046A23" w:rsidP="00046A23">
      <w:pPr>
        <w:spacing w:after="0"/>
      </w:pPr>
      <w:r w:rsidRPr="000A6C75">
        <w:br w:type="page"/>
      </w:r>
      <w:r w:rsidR="005538F2">
        <w:lastRenderedPageBreak/>
        <w:t xml:space="preserve"> </w:t>
      </w:r>
    </w:p>
    <w:p w14:paraId="4DE05BFE" w14:textId="77777777" w:rsidR="00046A23" w:rsidRPr="000A6C75" w:rsidRDefault="00046A23" w:rsidP="00046A23">
      <w:pPr>
        <w:pStyle w:val="Heading1"/>
      </w:pPr>
      <w:r w:rsidRPr="000A6C75">
        <w:rPr>
          <w:b w:val="0"/>
        </w:rPr>
        <w:t>Filar 1</w:t>
      </w:r>
      <w:r w:rsidRPr="000A6C75">
        <w:t xml:space="preserve"> wiadomości</w:t>
      </w:r>
    </w:p>
    <w:p w14:paraId="3335FB36" w14:textId="77777777" w:rsidR="00046A23" w:rsidRPr="000A6C75" w:rsidRDefault="00046A23" w:rsidP="00046A23">
      <w:pPr>
        <w:pStyle w:val="Heading2"/>
      </w:pPr>
      <w:r w:rsidRPr="000A6C75">
        <w:t>Po co miastom detoks źródeł ciepła?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0A6C75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Aby miasta były zdrowsze</w:t>
            </w:r>
          </w:p>
          <w:p w14:paraId="61762295" w14:textId="77777777" w:rsidR="00046A23" w:rsidRPr="000A6C75" w:rsidRDefault="00046A23" w:rsidP="004C6886">
            <w:pPr>
              <w:jc w:val="center"/>
              <w:rPr>
                <w:color w:val="000000" w:themeColor="text1"/>
              </w:rPr>
            </w:pPr>
            <w:r w:rsidRPr="000A6C75">
              <w:rPr>
                <w:color w:val="000000" w:themeColor="text1"/>
              </w:rPr>
              <w:t>Troska o zdrowie w mieście oznacza rezygnację z toksycznych źródeł ciepła.</w:t>
            </w:r>
          </w:p>
          <w:p w14:paraId="0C1986D9" w14:textId="77777777" w:rsidR="00046A23" w:rsidRPr="000A6C75" w:rsidRDefault="00046A23" w:rsidP="004C6886">
            <w:pPr>
              <w:jc w:val="center"/>
              <w:rPr>
                <w:color w:val="000000" w:themeColor="text1"/>
              </w:rPr>
            </w:pPr>
            <w:r w:rsidRPr="000A6C75">
              <w:rPr>
                <w:color w:val="000000" w:themeColor="text1"/>
              </w:rPr>
              <w:t>W globalnej walce ze zmianami klimatu detoks źródeł ciepła w miastach jest niezbędnym krokiem do osiągnięcia w Europie zerowej emisji netto do 2050 roku.</w:t>
            </w:r>
          </w:p>
        </w:tc>
      </w:tr>
      <w:tr w:rsidR="00046A23" w:rsidRPr="000A6C75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Aby powietrze było czystsze</w:t>
            </w:r>
          </w:p>
          <w:p w14:paraId="04D5F068" w14:textId="77777777" w:rsidR="00046A23" w:rsidRPr="000A6C75" w:rsidRDefault="00046A23" w:rsidP="004C6886">
            <w:pPr>
              <w:jc w:val="center"/>
            </w:pPr>
            <w:r w:rsidRPr="000A6C75">
              <w:t>Poprawa jakości powietrza i zdrowia w miastach, zwłaszcza w gęsto zaludnionych obszarach miejskich, ochrona środowiska i dobrostanu mieszkańców.</w:t>
            </w:r>
          </w:p>
          <w:p w14:paraId="1E7479A3" w14:textId="77777777" w:rsidR="00046A23" w:rsidRPr="000A6C75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Aby gospodarka była silniejsza</w:t>
            </w:r>
          </w:p>
          <w:p w14:paraId="29DDD771" w14:textId="77777777" w:rsidR="00046A23" w:rsidRPr="000A6C75" w:rsidRDefault="00046A23" w:rsidP="004C6886">
            <w:pPr>
              <w:jc w:val="center"/>
              <w:rPr>
                <w:color w:val="000000" w:themeColor="text1"/>
              </w:rPr>
            </w:pPr>
            <w:r w:rsidRPr="000A6C75">
              <w:rPr>
                <w:color w:val="000000" w:themeColor="text1"/>
              </w:rPr>
              <w:t>Wspieranie bardziej energooszczędnej, nowoczesnej gospodarki o obiegu zamkniętym, tworzenie miejsc pracy w nowej branży.</w:t>
            </w:r>
          </w:p>
          <w:p w14:paraId="3E9EC6D1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Aby społeczeństwo było bardziej odporne</w:t>
            </w:r>
          </w:p>
          <w:p w14:paraId="27385150" w14:textId="77777777" w:rsidR="00046A23" w:rsidRPr="000A6C75" w:rsidRDefault="00046A23" w:rsidP="004C6886">
            <w:pPr>
              <w:jc w:val="center"/>
              <w:rPr>
                <w:color w:val="000000" w:themeColor="text1"/>
              </w:rPr>
            </w:pPr>
            <w:r w:rsidRPr="000A6C75">
              <w:rPr>
                <w:color w:val="000000" w:themeColor="text1"/>
              </w:rPr>
              <w:t>Zapewnienie suwerenności energetycznej i sprawiedliwej transformacji służącej przeciwdziałaniu ubóstwu energetycznemu i łagodzeniu długoterminowych skutków zmian klimatu dla społeczności lokalnych.</w:t>
            </w:r>
          </w:p>
        </w:tc>
      </w:tr>
    </w:tbl>
    <w:p w14:paraId="70798C89" w14:textId="77777777" w:rsidR="00046A23" w:rsidRPr="000A6C75" w:rsidRDefault="00046A23" w:rsidP="00046A23">
      <w:pPr>
        <w:spacing w:after="0"/>
        <w:rPr>
          <w:b/>
          <w:bCs/>
        </w:rPr>
      </w:pPr>
    </w:p>
    <w:p w14:paraId="02116147" w14:textId="77777777" w:rsidR="00046A23" w:rsidRPr="000A6C75" w:rsidRDefault="00046A23" w:rsidP="00046A23">
      <w:pPr>
        <w:pStyle w:val="Heading1"/>
      </w:pPr>
      <w:r w:rsidRPr="000A6C75">
        <w:rPr>
          <w:b w:val="0"/>
        </w:rPr>
        <w:t>Filar 2</w:t>
      </w:r>
      <w:r w:rsidRPr="000A6C75">
        <w:t xml:space="preserve"> wiadomości</w:t>
      </w:r>
    </w:p>
    <w:p w14:paraId="6FCD9DDB" w14:textId="77777777" w:rsidR="00046A23" w:rsidRPr="000A6C75" w:rsidRDefault="00046A23" w:rsidP="00046A23">
      <w:pPr>
        <w:pStyle w:val="Heading2"/>
      </w:pPr>
      <w:r w:rsidRPr="000A6C75">
        <w:t>Co miasta mogą zrobić, aby detoks systemów ciepłowniczych był możliwy?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0A6C75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0A6C75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Aby ogrzać miasta, wcale nie trzeba spalać toksycznych paliw.</w:t>
            </w:r>
          </w:p>
          <w:p w14:paraId="0064F0FD" w14:textId="77777777" w:rsidR="00046A23" w:rsidRPr="000A6C75" w:rsidRDefault="00046A23" w:rsidP="004C6886">
            <w:pPr>
              <w:jc w:val="center"/>
              <w:rPr>
                <w:color w:val="000000" w:themeColor="text1"/>
              </w:rPr>
            </w:pPr>
            <w:r w:rsidRPr="000A6C75">
              <w:rPr>
                <w:color w:val="000000" w:themeColor="text1"/>
              </w:rPr>
              <w:t>Detoks ciepłownictwa na dużą skalę jest możliwy, jeżeli miasta masowo przejdą na czystsze, bardziej nowoczesne i zrównoważone systemy grzewcze. Jak to zrobić w 3 krokach.</w:t>
            </w:r>
          </w:p>
        </w:tc>
      </w:tr>
      <w:tr w:rsidR="00046A23" w:rsidRPr="000A6C75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0A6C75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Poznaj swoje źródła ciepła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77777777" w:rsidR="00046A23" w:rsidRPr="000A6C75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Zastosuj pełny detoks ciepłownictwa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0A6C75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0A6C75">
              <w:rPr>
                <w:b/>
                <w:color w:val="000000" w:themeColor="text1"/>
              </w:rPr>
              <w:t>Zapewnij sobie czyste źródła ciepła</w:t>
            </w:r>
          </w:p>
        </w:tc>
      </w:tr>
      <w:tr w:rsidR="00046A23" w:rsidRPr="000A6C75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77777777" w:rsidR="00046A23" w:rsidRPr="000A6C75" w:rsidRDefault="00046A23" w:rsidP="004C6886">
            <w:pPr>
              <w:jc w:val="center"/>
            </w:pPr>
            <w:r w:rsidRPr="000A6C75">
              <w:t>Pierwszym krokiem umożliwiającym detoks jest zawsze dokładne poznanie swojego systemu: miejskich źródeł ciepła, zapotrzebowania na ciepło i potencjalnych rozwiązań alternatywnych.</w:t>
            </w:r>
          </w:p>
          <w:p w14:paraId="6484289C" w14:textId="384B4FCB" w:rsidR="00046A23" w:rsidRPr="000A6C75" w:rsidRDefault="00207C26" w:rsidP="004C6886">
            <w:pPr>
              <w:jc w:val="center"/>
            </w:pPr>
            <w:r>
              <w:t>Stosując</w:t>
            </w:r>
            <w:r w:rsidR="00046A23" w:rsidRPr="000A6C75">
              <w:t xml:space="preserve"> kompleksowe mapowanie i planowanie</w:t>
            </w:r>
            <w:r>
              <w:t>,</w:t>
            </w:r>
            <w:r w:rsidR="00046A23" w:rsidRPr="000A6C75">
              <w:t xml:space="preserve"> należy zidentyfikować możliwości w zakresie dekarbonizacji źródeł ciepła i zmniejszenia </w:t>
            </w:r>
            <w:r w:rsidR="00046A23" w:rsidRPr="000A6C75">
              <w:lastRenderedPageBreak/>
              <w:t>zapotrzebowania</w:t>
            </w:r>
            <w:r>
              <w:t xml:space="preserve"> na nie</w:t>
            </w:r>
            <w:r w:rsidR="00046A23" w:rsidRPr="000A6C75">
              <w:t>, a także ewentualnej rozbudowy lub wdrożenia zbiorowych miejskich systemów ciepłowniczych.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0A6C75" w:rsidRDefault="00046A23" w:rsidP="004C6886">
            <w:pPr>
              <w:jc w:val="center"/>
            </w:pPr>
            <w:r w:rsidRPr="000A6C75">
              <w:lastRenderedPageBreak/>
              <w:t>Aby detoks był skuteczniejszy i umożliwił ograniczenie emisji toksyn związanych z ogrzewaniem na dużą skalę, należy rozważyć podejście obejmujące całe miasto. Oznacza to zastosowanie zdekarbonizowanych zbiorowych miejskich systemów ciepłowniczych.</w:t>
            </w:r>
          </w:p>
          <w:p w14:paraId="3041A9F5" w14:textId="77777777" w:rsidR="00046A23" w:rsidRPr="000A6C75" w:rsidRDefault="00046A23" w:rsidP="004C6886">
            <w:pPr>
              <w:jc w:val="center"/>
            </w:pPr>
            <w:r w:rsidRPr="000A6C75">
              <w:t xml:space="preserve">Ich poszerzenie, rozwój i renowacja w gęsto zaludnionych obszarach miejskich jest najbardziej skutecznym i opłacalnym </w:t>
            </w:r>
            <w:r w:rsidRPr="000A6C75">
              <w:lastRenderedPageBreak/>
              <w:t>sposobem uzyskania na dużą skalę energii ze źródeł niskoemisyjnych i poprawę jakości powietrza, przy jednoczesnym zapewnieniu bezpieczeństwa energetycznego.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3C40E9E6" w:rsidR="00046A23" w:rsidRPr="000A6C75" w:rsidRDefault="00046A23" w:rsidP="004C6886">
            <w:pPr>
              <w:jc w:val="center"/>
            </w:pPr>
            <w:r w:rsidRPr="000A6C75">
              <w:lastRenderedPageBreak/>
              <w:t>Odnów system ciepłowniczy miasta, zasilając sieci ciepłownicze czystymi, zdrowymi źródłami energii, które są najlepiej dostosowane do potrzeb na danym terenie.</w:t>
            </w:r>
          </w:p>
          <w:p w14:paraId="49EFE784" w14:textId="77777777" w:rsidR="00046A23" w:rsidRPr="000A6C75" w:rsidRDefault="00046A23" w:rsidP="004C6886">
            <w:pPr>
              <w:jc w:val="center"/>
            </w:pPr>
            <w:r w:rsidRPr="000A6C75">
              <w:t xml:space="preserve">Geotermia, energia słoneczna i pompy ciepła na dużą skalę zasilane energią odnawialną to świetne źródła umożliwiające </w:t>
            </w:r>
            <w:r w:rsidRPr="000A6C75">
              <w:lastRenderedPageBreak/>
              <w:t>odnowę miejskiego systemu ciepłowniczego.</w:t>
            </w:r>
          </w:p>
        </w:tc>
      </w:tr>
    </w:tbl>
    <w:p w14:paraId="4F5D95BD" w14:textId="77777777" w:rsidR="00046A23" w:rsidRPr="000A6C75" w:rsidRDefault="00046A23" w:rsidP="00046A23"/>
    <w:p w14:paraId="534AEC3F" w14:textId="2159FD84" w:rsidR="005A2121" w:rsidRPr="000A6C75" w:rsidRDefault="005A2121" w:rsidP="005A2121">
      <w:pPr>
        <w:pStyle w:val="Heading2"/>
      </w:pPr>
      <w:r w:rsidRPr="000A6C75">
        <w:t>Na czym polega detoks systemów ciepłowniczych w mieście?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:rsidRPr="000A6C75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145F6615" w:rsidR="005A2121" w:rsidRPr="000A6C75" w:rsidRDefault="005A2121" w:rsidP="005A2121">
            <w:pPr>
              <w:jc w:val="center"/>
              <w:rPr>
                <w:b/>
                <w:bCs/>
              </w:rPr>
            </w:pPr>
            <w:r w:rsidRPr="000A6C75">
              <w:rPr>
                <w:b/>
              </w:rPr>
              <w:t>Stwórz zestaw do detoksu systemów ciepłowniczych w mieście.</w:t>
            </w:r>
          </w:p>
        </w:tc>
      </w:tr>
      <w:tr w:rsidR="005A2121" w:rsidRPr="000A6C75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Pr="000A6C75" w:rsidRDefault="005A2121" w:rsidP="005A2121">
            <w:r w:rsidRPr="000A6C75">
              <w:t>Podstawy zdrowego ogrzewania i chłodzenia</w:t>
            </w:r>
          </w:p>
          <w:p w14:paraId="7510CFF9" w14:textId="77777777" w:rsidR="005A2121" w:rsidRPr="000A6C75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0A6C75">
              <w:t>Miejski system ciepłowniczy</w:t>
            </w:r>
          </w:p>
          <w:p w14:paraId="3EA3130D" w14:textId="77777777" w:rsidR="005A2121" w:rsidRPr="000A6C75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0A6C75">
              <w:t>Miejski system chłodniczy</w:t>
            </w:r>
          </w:p>
          <w:p w14:paraId="65726574" w14:textId="09F685FA" w:rsidR="005A2121" w:rsidRPr="000A6C75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0A6C75">
              <w:t>Pompy ciepła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Pr="000A6C75" w:rsidRDefault="005A2121" w:rsidP="005A2121">
            <w:r w:rsidRPr="000A6C75">
              <w:t>Składniki zdrowego ogrzewania i chłodzenia</w:t>
            </w:r>
          </w:p>
          <w:p w14:paraId="1DFA75B4" w14:textId="4BF10622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Geotermi</w:t>
            </w:r>
            <w:r w:rsidR="00207C26">
              <w:t>a</w:t>
            </w:r>
          </w:p>
          <w:p w14:paraId="5F015F28" w14:textId="124BCD5D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 xml:space="preserve">Słoneczna </w:t>
            </w:r>
            <w:r w:rsidR="00207C26">
              <w:t xml:space="preserve">energia </w:t>
            </w:r>
            <w:r w:rsidRPr="000A6C75">
              <w:t>cieplna</w:t>
            </w:r>
          </w:p>
          <w:p w14:paraId="4D8376CA" w14:textId="77777777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Ciepło odpadowe</w:t>
            </w:r>
          </w:p>
          <w:p w14:paraId="07134E01" w14:textId="2E0CDE63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Źródło powietrz</w:t>
            </w:r>
            <w:r w:rsidR="00207C26">
              <w:t>ne</w:t>
            </w:r>
          </w:p>
          <w:p w14:paraId="70AB03C1" w14:textId="3A11B457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Źródło wod</w:t>
            </w:r>
            <w:r w:rsidR="00207C26">
              <w:t>ne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Pr="000A6C75" w:rsidRDefault="005A2121" w:rsidP="005A2121">
            <w:r w:rsidRPr="000A6C75">
              <w:t>Elementy uzupełniające</w:t>
            </w:r>
          </w:p>
          <w:p w14:paraId="5D1540AA" w14:textId="77777777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Biomasa</w:t>
            </w:r>
          </w:p>
          <w:p w14:paraId="6BBC038A" w14:textId="24333F6F" w:rsidR="005A2121" w:rsidRPr="000A6C75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0A6C75">
              <w:t>Biogaz</w:t>
            </w:r>
          </w:p>
        </w:tc>
      </w:tr>
    </w:tbl>
    <w:p w14:paraId="54466134" w14:textId="77777777" w:rsidR="00046A23" w:rsidRPr="000A6C75" w:rsidRDefault="00046A23" w:rsidP="00046A23"/>
    <w:p w14:paraId="2B0BF729" w14:textId="77777777" w:rsidR="00046A23" w:rsidRPr="000A6C75" w:rsidRDefault="00046A23" w:rsidP="00046A23">
      <w:pPr>
        <w:pStyle w:val="Heading1"/>
      </w:pPr>
      <w:r w:rsidRPr="000A6C75">
        <w:rPr>
          <w:b w:val="0"/>
        </w:rPr>
        <w:t>Filar 3</w:t>
      </w:r>
      <w:r w:rsidRPr="000A6C75">
        <w:t xml:space="preserve"> wiadomości</w:t>
      </w:r>
    </w:p>
    <w:p w14:paraId="0515AF9F" w14:textId="77777777" w:rsidR="00046A23" w:rsidRPr="000A6C75" w:rsidRDefault="00046A23" w:rsidP="00046A23">
      <w:pPr>
        <w:pStyle w:val="Heading2"/>
      </w:pPr>
      <w:r w:rsidRPr="000A6C75">
        <w:t>Czego potrzebują miasta do detoksykacji systemów ciepłowniczych?</w:t>
      </w:r>
    </w:p>
    <w:p w14:paraId="7B2C8FED" w14:textId="673C7808" w:rsidR="0090324F" w:rsidRPr="000A6C75" w:rsidRDefault="0090324F" w:rsidP="0090324F">
      <w:r w:rsidRPr="000A6C75">
        <w:t>Niestety, miasta w całej UE zmagają się obecnie z warunkami</w:t>
      </w:r>
      <w:r w:rsidR="00207C26">
        <w:t>,</w:t>
      </w:r>
      <w:r w:rsidRPr="000A6C75">
        <w:t xml:space="preserve"> które nie sprzyjają skutecznej detoksykacji źródeł ciepła. </w:t>
      </w:r>
      <w:hyperlink r:id="rId14" w:tgtFrame="_blank" w:history="1">
        <w:r w:rsidRPr="000A6C75">
          <w:rPr>
            <w:rStyle w:val="Hyperlink"/>
          </w:rPr>
          <w:t>Unijne narzędzie</w:t>
        </w:r>
      </w:hyperlink>
      <w:r w:rsidRPr="000A6C75">
        <w:t xml:space="preserve"> oceny stanu lokalnych procesów planowania w zakresie ogrzewania i chłodzenia w państwach członkowskich UE wyraźnie wskazuje, że w większości państw brakuje odpowiednich ram regulacyjnych i ram wsparcia samorządów, aby możliwe było rozpoczęcie pierwszego i niezbędnego etap</w:t>
      </w:r>
      <w:r w:rsidR="00207C26">
        <w:t>u</w:t>
      </w:r>
      <w:r w:rsidRPr="000A6C75">
        <w:t xml:space="preserve"> detoksu</w:t>
      </w:r>
      <w:r w:rsidR="00207C26">
        <w:t>, jakim jest</w:t>
      </w:r>
      <w:r w:rsidRPr="000A6C75">
        <w:t xml:space="preserve"> planowanie sieci ciepłowniczych.  </w:t>
      </w:r>
    </w:p>
    <w:p w14:paraId="21AFB5A7" w14:textId="0014C2F5" w:rsidR="00EA1CAB" w:rsidRPr="000A6C75" w:rsidRDefault="00046A23" w:rsidP="0090324F">
      <w:r w:rsidRPr="000A6C75">
        <w:t>Aby skutecznie przeprowadzić #CitiesHeatDetox</w:t>
      </w:r>
      <w:r w:rsidR="00207C26">
        <w:t xml:space="preserve"> i zagwarantować skuteczność detoksu, </w:t>
      </w:r>
      <w:r w:rsidRPr="000A6C75">
        <w:t xml:space="preserve">miasta muszą podjąć działania dotyczące różnych wymiarów dobrostanu.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:rsidRPr="000A6C75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Pr="000A6C75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DOSTĘP DO DANYCH </w:t>
            </w:r>
          </w:p>
          <w:p w14:paraId="78A32C1B" w14:textId="6A17D3AE" w:rsidR="00EA1CAB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Dobrostan intelektualny</w:t>
            </w:r>
          </w:p>
          <w:p w14:paraId="22E9CC6E" w14:textId="4CA0FCC7" w:rsidR="008748DB" w:rsidRPr="000A6C75" w:rsidRDefault="008748DB" w:rsidP="00EA1CAB">
            <w:pPr>
              <w:rPr>
                <w:i/>
                <w:iCs/>
              </w:rPr>
            </w:pPr>
            <w:r w:rsidRPr="000A6C75">
              <w:rPr>
                <w:i/>
              </w:rPr>
              <w:t>Zaangażowanie umysłowe i twórcze.</w:t>
            </w:r>
          </w:p>
          <w:p w14:paraId="637FB220" w14:textId="5E1EA0B7" w:rsidR="00EA1CAB" w:rsidRPr="000A6C75" w:rsidRDefault="008748DB" w:rsidP="00EA1CAB">
            <w:r w:rsidRPr="000A6C75">
              <w:rPr>
                <w:rFonts w:ascii="Source Sans Pro" w:hAnsi="Source Sans Pro"/>
                <w:color w:val="000000" w:themeColor="text1"/>
              </w:rPr>
              <w:t xml:space="preserve">Dostęp do bazy danych istniejących budynków w związku z potrzebami planowania cieplnego i </w:t>
            </w:r>
            <w:r w:rsidRPr="000A6C75">
              <w:rPr>
                <w:rFonts w:ascii="Source Sans Pro" w:hAnsi="Source Sans Pro"/>
                <w:color w:val="000000" w:themeColor="text1"/>
              </w:rPr>
              <w:lastRenderedPageBreak/>
              <w:t>zagospodarowania przestrzennego przez samorządy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Pr="000A6C75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ZASOBY SAMORZĄDOWE </w:t>
            </w:r>
          </w:p>
          <w:p w14:paraId="797285EC" w14:textId="3E09500B" w:rsidR="00EA1CAB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Dobrostan fizyczny</w:t>
            </w:r>
          </w:p>
          <w:p w14:paraId="3EE44447" w14:textId="513F2091" w:rsidR="008748DB" w:rsidRPr="000A6C75" w:rsidRDefault="0090324F" w:rsidP="00EA1CAB">
            <w:pPr>
              <w:rPr>
                <w:i/>
                <w:iCs/>
              </w:rPr>
            </w:pPr>
            <w:r w:rsidRPr="000A6C75">
              <w:rPr>
                <w:i/>
              </w:rPr>
              <w:t>Utrzymanie zdrowej i zrównoważonej jakości życia.</w:t>
            </w:r>
          </w:p>
          <w:p w14:paraId="73896F38" w14:textId="77777777" w:rsidR="00EA1CAB" w:rsidRPr="000A6C75" w:rsidRDefault="00EA1CAB" w:rsidP="00EA1CAB">
            <w:r w:rsidRPr="000A6C75">
              <w:t xml:space="preserve">Lokalny potencjał i personel oraz długoterminowe wsparcie finansowe w celu planowania zapewnienia ciepła, szkolenia </w:t>
            </w:r>
            <w:r w:rsidRPr="000A6C75">
              <w:lastRenderedPageBreak/>
              <w:t>nowych specjalistów i rozwoju nowej infrastruktury, doradztwa energetycznego dla obywateli, egzekwowania prawa itp.</w:t>
            </w:r>
          </w:p>
          <w:p w14:paraId="10C729D5" w14:textId="77777777" w:rsidR="00EA1CAB" w:rsidRPr="000A6C75" w:rsidRDefault="00EA1CAB" w:rsidP="00EA1CAB">
            <w:r w:rsidRPr="000A6C75">
              <w:t>#LocalStaff4Climate</w:t>
            </w:r>
          </w:p>
          <w:p w14:paraId="34E15BAE" w14:textId="3FEA0C8B" w:rsidR="008C1A99" w:rsidRPr="000A6C75" w:rsidRDefault="008C1A99" w:rsidP="00EA1CAB">
            <w:r w:rsidRPr="000A6C75"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Pr="000A6C75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KORZYSTNE RAMY PRAWNE</w:t>
            </w:r>
          </w:p>
          <w:p w14:paraId="4BBA5E36" w14:textId="6C8ED83D" w:rsidR="00EA1CAB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Dobrostan środowiska</w:t>
            </w:r>
          </w:p>
          <w:p w14:paraId="3BB589F5" w14:textId="13A0E34E" w:rsidR="008748DB" w:rsidRPr="000A6C75" w:rsidRDefault="008748DB" w:rsidP="00EA1CAB">
            <w:pPr>
              <w:rPr>
                <w:i/>
                <w:iCs/>
              </w:rPr>
            </w:pPr>
            <w:r w:rsidRPr="000A6C75">
              <w:rPr>
                <w:i/>
              </w:rPr>
              <w:t xml:space="preserve">Życie w bezpiecznym oraz komfortowym środowisku i społeczności. </w:t>
            </w:r>
          </w:p>
          <w:p w14:paraId="47BC69C6" w14:textId="0673370D" w:rsidR="00EA1CAB" w:rsidRPr="000A6C75" w:rsidRDefault="00EA1CAB" w:rsidP="00EA1CAB">
            <w:r w:rsidRPr="000A6C75">
              <w:t xml:space="preserve">Prawne możliwości egzekwowania planów zagospodarowania w zakresie energii i ciepła, w tym </w:t>
            </w:r>
            <w:r w:rsidRPr="000A6C75">
              <w:lastRenderedPageBreak/>
              <w:t>obowiązek podłączenia do sieci ciepłowniczej</w:t>
            </w:r>
          </w:p>
          <w:p w14:paraId="2232B017" w14:textId="1D4F4E15" w:rsidR="00EA1CAB" w:rsidRPr="000A6C75" w:rsidRDefault="00EA1CAB" w:rsidP="00EA1CAB">
            <w:r w:rsidRPr="000A6C75">
              <w:t>Ograniczenia lub zakazy dotyczące kotłów na paliwa kopalne, przepisy wspierające w celu zmniejszenia zapotrzebowania na gaz</w:t>
            </w:r>
          </w:p>
          <w:p w14:paraId="0D9A300F" w14:textId="77777777" w:rsidR="00EA1CAB" w:rsidRPr="000A6C75" w:rsidRDefault="00EA1CAB" w:rsidP="00EA1CAB">
            <w:r w:rsidRPr="000A6C75">
              <w:t>Zniesienie obowiązku przyłączania budynków do sieci gazowej</w:t>
            </w:r>
          </w:p>
          <w:p w14:paraId="4486E4D2" w14:textId="49B6B70D" w:rsidR="00EA1CAB" w:rsidRPr="000A6C75" w:rsidRDefault="00EA1CAB" w:rsidP="0090324F">
            <w:r w:rsidRPr="000A6C75">
              <w:t>Likwidacja barier prawnych w celu wykorzystania lokalnego potencjału ciepłowniczego</w:t>
            </w:r>
          </w:p>
        </w:tc>
      </w:tr>
      <w:tr w:rsidR="00EA1CAB" w:rsidRPr="000A6C75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Pr="000A6C75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Pr="000A6C75" w:rsidRDefault="008C1A99" w:rsidP="008748D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PRZEJRZYSTOŚĆ TECHNICZNA </w:t>
            </w:r>
          </w:p>
          <w:p w14:paraId="485F492E" w14:textId="04FEBAC6" w:rsidR="008748DB" w:rsidRPr="000A6C75" w:rsidRDefault="008C1A99" w:rsidP="008748D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Dobrostan duchowy </w:t>
            </w:r>
          </w:p>
          <w:p w14:paraId="591360CC" w14:textId="1F7C8C59" w:rsidR="008748DB" w:rsidRPr="000A6C75" w:rsidRDefault="008748DB" w:rsidP="008748DB">
            <w:pPr>
              <w:rPr>
                <w:b/>
                <w:bCs/>
              </w:rPr>
            </w:pPr>
            <w:r w:rsidRPr="000A6C75">
              <w:rPr>
                <w:i/>
              </w:rPr>
              <w:t>Posiadanie celu i poczucia samoświadomości.</w:t>
            </w:r>
          </w:p>
          <w:p w14:paraId="72E95A49" w14:textId="0EEB932D" w:rsidR="00EA1CAB" w:rsidRPr="000A6C75" w:rsidRDefault="00512F46" w:rsidP="00EA1CAB">
            <w:r w:rsidRPr="00512F46">
              <w:t>Jasność dotycząca systemów ciepłowniczych i harmonogramów oraz zróżnicowanie dotacji w celu zapewnienia właścicielom firm, przedsiębiorstwom użyteczności publicznej itp. bezpieczeństwa inwestycji</w:t>
            </w:r>
          </w:p>
          <w:p w14:paraId="1154D1FA" w14:textId="77777777" w:rsidR="00EA1CAB" w:rsidRPr="000A6C75" w:rsidRDefault="00EA1CAB" w:rsidP="00EA1CAB"/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Pr="000A6C75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ZACHĘTY I DOTACJE </w:t>
            </w:r>
          </w:p>
          <w:p w14:paraId="427D77B9" w14:textId="7A005E11" w:rsidR="00EA1CAB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Dobrostan finansowy</w:t>
            </w:r>
          </w:p>
          <w:p w14:paraId="3E403FD1" w14:textId="17830296" w:rsidR="008748DB" w:rsidRPr="000A6C75" w:rsidRDefault="008748DB" w:rsidP="008748DB">
            <w:pPr>
              <w:rPr>
                <w:i/>
                <w:iCs/>
              </w:rPr>
            </w:pPr>
            <w:r w:rsidRPr="000A6C75">
              <w:rPr>
                <w:i/>
              </w:rPr>
              <w:t>Stabilność finansowa i dalekowzroczność.</w:t>
            </w:r>
          </w:p>
          <w:p w14:paraId="5CD8BE5F" w14:textId="77777777" w:rsidR="00EA1CAB" w:rsidRPr="000A6C75" w:rsidRDefault="00EA1CAB" w:rsidP="00EA1CAB">
            <w:r w:rsidRPr="000A6C75">
              <w:t>Zachęty ekonomiczne: ceny, podatki i dotacje w celu złagodzenia kosztów inwestycji</w:t>
            </w:r>
          </w:p>
          <w:p w14:paraId="037F6E42" w14:textId="2F81C653" w:rsidR="00473389" w:rsidRPr="000A6C75" w:rsidRDefault="00473389" w:rsidP="00473389">
            <w:r w:rsidRPr="000A6C75">
              <w:t>Zachęty i wsparcie finansowe w celu wykorzystania lokalnego potencjału cieplnego </w:t>
            </w:r>
          </w:p>
          <w:p w14:paraId="7E0830FE" w14:textId="2B38F352" w:rsidR="00EA1CAB" w:rsidRPr="000A6C75" w:rsidRDefault="00473389" w:rsidP="00337A76">
            <w:r w:rsidRPr="000A6C75">
              <w:t xml:space="preserve">Zachęcanie do wymiany systemu ciepłowniczego </w:t>
            </w:r>
            <w:r w:rsidR="003A29E0">
              <w:t>w połączeniu</w:t>
            </w:r>
            <w:r w:rsidRPr="000A6C75">
              <w:t xml:space="preserve"> z renowacją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Pr="000A6C75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 xml:space="preserve">EKOSYSTEM PRAWNY OPARTY NA WSPÓŁPRACY </w:t>
            </w:r>
          </w:p>
          <w:p w14:paraId="1F70F7B6" w14:textId="12B4E8BE" w:rsidR="00EA1CAB" w:rsidRPr="000A6C75" w:rsidRDefault="008C1A99" w:rsidP="00EA1CAB">
            <w:pPr>
              <w:rPr>
                <w:b/>
                <w:bCs/>
              </w:rPr>
            </w:pPr>
            <w:r w:rsidRPr="000A6C75">
              <w:rPr>
                <w:b/>
              </w:rPr>
              <w:t>Dobrostan społeczny</w:t>
            </w:r>
          </w:p>
          <w:p w14:paraId="54C4808E" w14:textId="1D647106" w:rsidR="008748DB" w:rsidRPr="000A6C75" w:rsidRDefault="008748DB" w:rsidP="008748DB">
            <w:pPr>
              <w:rPr>
                <w:i/>
                <w:iCs/>
              </w:rPr>
            </w:pPr>
            <w:r w:rsidRPr="000A6C75">
              <w:rPr>
                <w:i/>
              </w:rPr>
              <w:t>Poczucie więzi i pielęgnowanie istotnych relacji.</w:t>
            </w:r>
          </w:p>
          <w:p w14:paraId="24FE4C07" w14:textId="4DEB929A" w:rsidR="00EA1CAB" w:rsidRPr="000A6C75" w:rsidRDefault="00EA1CAB" w:rsidP="00EA1CAB">
            <w:r w:rsidRPr="000A6C75">
              <w:t>Zachęty i wyraźne korzyści dla obywateli związane z podłączeniem się do sieci ciepłowniczej tam, gdzie jest to możliwe</w:t>
            </w:r>
            <w:r w:rsidR="005374BD">
              <w:t>,</w:t>
            </w:r>
            <w:r w:rsidRPr="000A6C75">
              <w:t xml:space="preserve"> i uczestnictwem w transformacji ciepłownictwa</w:t>
            </w:r>
          </w:p>
          <w:p w14:paraId="1B4C83ED" w14:textId="146B2FA0" w:rsidR="00EA1CAB" w:rsidRPr="000A6C75" w:rsidRDefault="00EA1CAB" w:rsidP="008748DB">
            <w:r w:rsidRPr="000A6C75">
              <w:t>Wykorzystanie firm świadczących usługi energetyczne</w:t>
            </w:r>
            <w:r w:rsidR="005374BD">
              <w:t xml:space="preserve"> począwszy</w:t>
            </w:r>
            <w:r w:rsidRPr="000A6C75">
              <w:t xml:space="preserve"> od utworzenia okienek oferujących doradztwo po współpracę z firmami energetycznymi będącymi własnością miasta</w:t>
            </w:r>
          </w:p>
        </w:tc>
      </w:tr>
    </w:tbl>
    <w:p w14:paraId="2BBAC60C" w14:textId="77777777" w:rsidR="00EA1CAB" w:rsidRPr="000A6C75" w:rsidRDefault="00EA1CAB" w:rsidP="00EA1CAB"/>
    <w:p w14:paraId="3B7A0271" w14:textId="77777777" w:rsidR="00046A23" w:rsidRPr="000A6C75" w:rsidRDefault="00046A23" w:rsidP="00046A23">
      <w:pPr>
        <w:pStyle w:val="Heading1"/>
      </w:pPr>
      <w:r w:rsidRPr="000A6C75">
        <w:t>Wezwania do działania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0A6C75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0A6C75" w:rsidRDefault="00046A23" w:rsidP="004C6886">
            <w:pPr>
              <w:jc w:val="center"/>
            </w:pPr>
            <w:r w:rsidRPr="000A6C75">
              <w:t>Powiedzmy to głośno i wyraźnie: zdrowe ciepło w miastach oznacza zdrową przyszłość dla Europy!</w:t>
            </w:r>
          </w:p>
          <w:p w14:paraId="2A7A9CDA" w14:textId="77777777" w:rsidR="00046A23" w:rsidRPr="000A6C75" w:rsidRDefault="00046A23" w:rsidP="004C6886">
            <w:pPr>
              <w:jc w:val="center"/>
              <w:rPr>
                <w:b/>
                <w:bCs/>
              </w:rPr>
            </w:pPr>
            <w:r w:rsidRPr="000A6C75">
              <w:rPr>
                <w:b/>
              </w:rPr>
              <w:t>Weź udział w kampanii.</w:t>
            </w:r>
          </w:p>
          <w:p w14:paraId="68684527" w14:textId="4FF3C49B" w:rsidR="00974AED" w:rsidRPr="000A6C75" w:rsidRDefault="00974AED" w:rsidP="004C6886">
            <w:pPr>
              <w:jc w:val="center"/>
              <w:rPr>
                <w:color w:val="0059AA"/>
              </w:rPr>
            </w:pPr>
            <w:r w:rsidRPr="000A6C75">
              <w:rPr>
                <w:color w:val="0059AA"/>
              </w:rPr>
              <w:t>Poznaj najnowsze informacje dotyczące kampanii i możliwości wzięcia udziału.</w:t>
            </w:r>
          </w:p>
          <w:p w14:paraId="26DC00A5" w14:textId="5637A52D" w:rsidR="00974AED" w:rsidRPr="000A6C75" w:rsidRDefault="005538F2" w:rsidP="004C6886">
            <w:pPr>
              <w:jc w:val="center"/>
            </w:pPr>
            <w:hyperlink r:id="rId15" w:history="1">
              <w:r w:rsidRPr="000A6C75">
                <w:rPr>
                  <w:rStyle w:val="Hyperlink"/>
                  <w:color w:val="0059AA"/>
                </w:rPr>
                <w:t>Link do strony kampanii.</w:t>
              </w:r>
            </w:hyperlink>
          </w:p>
        </w:tc>
      </w:tr>
      <w:tr w:rsidR="00046A23" w:rsidRPr="000A6C75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046A23" w:rsidRPr="000A6C75" w:rsidRDefault="00046A23" w:rsidP="004C6886">
            <w:pPr>
              <w:jc w:val="center"/>
            </w:pPr>
            <w:r w:rsidRPr="000A6C75">
              <w:lastRenderedPageBreak/>
              <w:t>Chcesz wziąć udział, ale detoks miejskiego ciepłownictwa nie jest prosty?</w:t>
            </w:r>
          </w:p>
          <w:p w14:paraId="3F237B7E" w14:textId="77777777" w:rsidR="00046A23" w:rsidRPr="000A6C75" w:rsidRDefault="00046A23" w:rsidP="004C6886">
            <w:pPr>
              <w:jc w:val="center"/>
              <w:rPr>
                <w:b/>
                <w:bCs/>
              </w:rPr>
            </w:pPr>
            <w:r w:rsidRPr="000A6C75">
              <w:rPr>
                <w:b/>
              </w:rPr>
              <w:t>Znajdź inspirację.</w:t>
            </w:r>
          </w:p>
          <w:p w14:paraId="13931434" w14:textId="789F6666" w:rsidR="00974AED" w:rsidRPr="000A6C75" w:rsidRDefault="00974AED" w:rsidP="007B2D00">
            <w:pPr>
              <w:jc w:val="center"/>
              <w:rPr>
                <w:color w:val="0059AA"/>
              </w:rPr>
            </w:pPr>
            <w:r w:rsidRPr="000A6C75">
              <w:rPr>
                <w:color w:val="0059AA"/>
              </w:rPr>
              <w:t xml:space="preserve">Na naszej mapie detoksu ciepłownictwa.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046A23" w:rsidRPr="000A6C75" w:rsidRDefault="00046A23" w:rsidP="004C6886">
            <w:pPr>
              <w:jc w:val="center"/>
            </w:pPr>
            <w:r w:rsidRPr="000A6C75">
              <w:t>Już realizujesz detoks ciepłownictwa w swoim mieście?</w:t>
            </w:r>
          </w:p>
          <w:p w14:paraId="60AB56B9" w14:textId="77777777" w:rsidR="00046A23" w:rsidRPr="000A6C75" w:rsidRDefault="00046A23" w:rsidP="004C6886">
            <w:pPr>
              <w:jc w:val="center"/>
              <w:rPr>
                <w:b/>
                <w:bCs/>
              </w:rPr>
            </w:pPr>
            <w:r w:rsidRPr="000A6C75">
              <w:rPr>
                <w:b/>
              </w:rPr>
              <w:t>Pokaż innym, jaki zestaw do detoksu stosujesz.</w:t>
            </w:r>
          </w:p>
          <w:p w14:paraId="5BBBEA9D" w14:textId="771188D2" w:rsidR="00974AED" w:rsidRPr="000A6C75" w:rsidRDefault="00974AED" w:rsidP="007B2D00">
            <w:pPr>
              <w:jc w:val="center"/>
              <w:rPr>
                <w:color w:val="0059AA"/>
              </w:rPr>
            </w:pPr>
            <w:r w:rsidRPr="000A6C75">
              <w:rPr>
                <w:color w:val="0059AA"/>
              </w:rPr>
              <w:t xml:space="preserve">Korzystanie z pakietu informacyjnego na temat detoksu. </w:t>
            </w:r>
          </w:p>
        </w:tc>
      </w:tr>
      <w:tr w:rsidR="00046A23" w:rsidRPr="000A6C75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0A6C75" w:rsidRDefault="00046A23" w:rsidP="004C6886">
            <w:pPr>
              <w:jc w:val="center"/>
            </w:pPr>
            <w:r w:rsidRPr="000A6C75">
              <w:t>Czego potrzebuje Twoje miasto, aby #CitiesHeatDetox zakończył się sukcesem?</w:t>
            </w:r>
          </w:p>
          <w:p w14:paraId="2BB2B687" w14:textId="77777777" w:rsidR="00046A23" w:rsidRPr="000A6C75" w:rsidRDefault="00046A23" w:rsidP="004C6886">
            <w:pPr>
              <w:jc w:val="center"/>
              <w:rPr>
                <w:b/>
                <w:bCs/>
              </w:rPr>
            </w:pPr>
            <w:r w:rsidRPr="000A6C75">
              <w:rPr>
                <w:b/>
              </w:rPr>
              <w:t>Podziel się swoją historią!</w:t>
            </w:r>
          </w:p>
          <w:p w14:paraId="3CC79A59" w14:textId="10CA4BC1" w:rsidR="00974AED" w:rsidRPr="000A6C75" w:rsidRDefault="0071528D" w:rsidP="007B2D00">
            <w:pPr>
              <w:jc w:val="center"/>
              <w:rPr>
                <w:color w:val="0059AA"/>
              </w:rPr>
            </w:pPr>
            <w:r w:rsidRPr="000A6C75">
              <w:rPr>
                <w:color w:val="0059AA"/>
              </w:rPr>
              <w:t xml:space="preserve">Korzystanie z pakietu informacyjnego na temat detoksu. </w:t>
            </w:r>
          </w:p>
        </w:tc>
      </w:tr>
    </w:tbl>
    <w:p w14:paraId="0E974FEB" w14:textId="77777777" w:rsidR="003E1EBD" w:rsidRPr="000A6C75" w:rsidRDefault="003E1EBD" w:rsidP="00046A23">
      <w:pPr>
        <w:pStyle w:val="Heading1"/>
      </w:pPr>
    </w:p>
    <w:sectPr w:rsidR="003E1EBD" w:rsidRPr="000A6C75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0A6A64" w14:textId="77777777" w:rsidR="004A20EA" w:rsidRDefault="004A20EA" w:rsidP="00046A23">
      <w:r>
        <w:separator/>
      </w:r>
    </w:p>
  </w:endnote>
  <w:endnote w:type="continuationSeparator" w:id="0">
    <w:p w14:paraId="36B64086" w14:textId="77777777" w:rsidR="004A20EA" w:rsidRDefault="004A20EA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Header"/>
    </w:pPr>
    <w:r>
      <w:rPr>
        <w:b/>
      </w:rPr>
      <w:t>Najważniejsze wiadomości</w:t>
    </w:r>
    <w:r>
      <w:t xml:space="preserve"> – Kampania Porozumienia Burmistrzów 2024-2025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7D80A" w14:textId="77777777" w:rsidR="004A20EA" w:rsidRDefault="004A20EA" w:rsidP="00046A23">
      <w:r>
        <w:separator/>
      </w:r>
    </w:p>
  </w:footnote>
  <w:footnote w:type="continuationSeparator" w:id="0">
    <w:p w14:paraId="03D96C96" w14:textId="77777777" w:rsidR="004A20EA" w:rsidRDefault="004A20EA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A6C75"/>
    <w:rsid w:val="000E70B5"/>
    <w:rsid w:val="001617F0"/>
    <w:rsid w:val="00161AFC"/>
    <w:rsid w:val="00166C53"/>
    <w:rsid w:val="00184976"/>
    <w:rsid w:val="001A42E9"/>
    <w:rsid w:val="00201747"/>
    <w:rsid w:val="00207C26"/>
    <w:rsid w:val="002148E5"/>
    <w:rsid w:val="002210B7"/>
    <w:rsid w:val="002434A0"/>
    <w:rsid w:val="00270DB3"/>
    <w:rsid w:val="002770E4"/>
    <w:rsid w:val="002D2697"/>
    <w:rsid w:val="00330FF4"/>
    <w:rsid w:val="00337A76"/>
    <w:rsid w:val="003A29E0"/>
    <w:rsid w:val="003B1BD4"/>
    <w:rsid w:val="003E1EBD"/>
    <w:rsid w:val="00426F18"/>
    <w:rsid w:val="00463851"/>
    <w:rsid w:val="004704FA"/>
    <w:rsid w:val="00473389"/>
    <w:rsid w:val="004A20EA"/>
    <w:rsid w:val="004C3998"/>
    <w:rsid w:val="005058B8"/>
    <w:rsid w:val="00512F46"/>
    <w:rsid w:val="00512F61"/>
    <w:rsid w:val="005374BD"/>
    <w:rsid w:val="00544A00"/>
    <w:rsid w:val="005538F2"/>
    <w:rsid w:val="00595076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6E7FFD"/>
    <w:rsid w:val="0071528D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A3C0A"/>
    <w:rsid w:val="008C1A99"/>
    <w:rsid w:val="0090324F"/>
    <w:rsid w:val="0092104B"/>
    <w:rsid w:val="009313F9"/>
    <w:rsid w:val="00934CFD"/>
    <w:rsid w:val="00974AED"/>
    <w:rsid w:val="009A6F4F"/>
    <w:rsid w:val="009D2ABB"/>
    <w:rsid w:val="00A22A47"/>
    <w:rsid w:val="00AA1CC1"/>
    <w:rsid w:val="00AA432C"/>
    <w:rsid w:val="00AE2775"/>
    <w:rsid w:val="00B02EC3"/>
    <w:rsid w:val="00C158F9"/>
    <w:rsid w:val="00C51B7E"/>
    <w:rsid w:val="00C54979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76C74"/>
    <w:rsid w:val="00E82943"/>
    <w:rsid w:val="00EA1CAB"/>
    <w:rsid w:val="00EC75A8"/>
    <w:rsid w:val="00EE6E82"/>
    <w:rsid w:val="00F20BF8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  <w:bCs/>
      <w:lang w:val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bCs/>
      <w:sz w:val="60"/>
      <w:szCs w:val="60"/>
      <w:lang w:val="pl-PL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B7F66D-D443-4CA8-8DFF-D6AE593D8484}"/>
</file>

<file path=customXml/itemProps3.xml><?xml version="1.0" encoding="utf-8"?>
<ds:datastoreItem xmlns:ds="http://schemas.openxmlformats.org/officeDocument/2006/customXml" ds:itemID="{B9E3310F-C34B-4F8B-9A3D-E4B5BBDEAFB6}"/>
</file>

<file path=customXml/itemProps4.xml><?xml version="1.0" encoding="utf-8"?>
<ds:datastoreItem xmlns:ds="http://schemas.openxmlformats.org/officeDocument/2006/customXml" ds:itemID="{C5279DD8-7632-4C1E-A125-55E147C296D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1304</Words>
  <Characters>7439</Characters>
  <Application>Microsoft Office Word</Application>
  <DocSecurity>0</DocSecurity>
  <Lines>61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Zeljko Susljic</cp:lastModifiedBy>
  <cp:revision>9</cp:revision>
  <dcterms:created xsi:type="dcterms:W3CDTF">2024-08-05T15:47:00Z</dcterms:created>
  <dcterms:modified xsi:type="dcterms:W3CDTF">2024-08-07T15:39:00Z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