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909561" w14:textId="77777777" w:rsidR="00E82943" w:rsidRPr="00AC072B" w:rsidRDefault="00EC75A8" w:rsidP="00046A23">
      <w:pPr>
        <w:rPr>
          <w:sz w:val="18"/>
        </w:rPr>
      </w:pPr>
      <w:r w:rsidRPr="00AC072B">
        <w:rPr>
          <w:noProof/>
          <w:sz w:val="18"/>
          <w:lang w:val="en-US"/>
        </w:rPr>
        <w:drawing>
          <wp:anchor distT="0" distB="0" distL="114300" distR="114300" simplePos="0" relativeHeight="251659264" behindDoc="0" locked="0" layoutInCell="1" allowOverlap="1" wp14:anchorId="5DE194DB" wp14:editId="24D79BD4">
            <wp:simplePos x="0" y="0"/>
            <wp:positionH relativeFrom="column">
              <wp:posOffset>3503295</wp:posOffset>
            </wp:positionH>
            <wp:positionV relativeFrom="paragraph">
              <wp:posOffset>151765</wp:posOffset>
            </wp:positionV>
            <wp:extent cx="1525905" cy="1432560"/>
            <wp:effectExtent l="0" t="0" r="0" b="0"/>
            <wp:wrapNone/>
            <wp:docPr id="1868059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059372" name="Picture 2"/>
                    <pic:cNvPicPr/>
                  </pic:nvPicPr>
                  <pic:blipFill rotWithShape="1">
                    <a:blip r:embed="rId8" cstate="print">
                      <a:extLst>
                        <a:ext uri="{28A0092B-C50C-407E-A947-70E740481C1C}">
                          <a14:useLocalDpi xmlns:a14="http://schemas.microsoft.com/office/drawing/2010/main" val="0"/>
                        </a:ext>
                      </a:extLst>
                    </a:blip>
                    <a:srcRect l="34973" t="35159" r="38369" b="39813"/>
                    <a:stretch/>
                  </pic:blipFill>
                  <pic:spPr bwMode="auto">
                    <a:xfrm>
                      <a:off x="0" y="0"/>
                      <a:ext cx="1525905" cy="1432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C072B">
        <w:rPr>
          <w:noProof/>
          <w:sz w:val="18"/>
          <w:lang w:val="en-US"/>
        </w:rPr>
        <w:drawing>
          <wp:anchor distT="0" distB="0" distL="114300" distR="114300" simplePos="0" relativeHeight="251658240" behindDoc="1" locked="0" layoutInCell="1" allowOverlap="1" wp14:anchorId="6E680E5F" wp14:editId="28FC4082">
            <wp:simplePos x="0" y="0"/>
            <wp:positionH relativeFrom="column">
              <wp:posOffset>-1443990</wp:posOffset>
            </wp:positionH>
            <wp:positionV relativeFrom="paragraph">
              <wp:posOffset>-918210</wp:posOffset>
            </wp:positionV>
            <wp:extent cx="7199630" cy="7876540"/>
            <wp:effectExtent l="0" t="0" r="0" b="0"/>
            <wp:wrapNone/>
            <wp:docPr id="2096438934"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438934" name="Picture 1" descr="A logo with text on it&#10;&#10;Description automatically generated with medium confidence"/>
                    <pic:cNvPicPr/>
                  </pic:nvPicPr>
                  <pic:blipFill rotWithShape="1">
                    <a:blip r:embed="rId9" cstate="print">
                      <a:extLst>
                        <a:ext uri="{28A0092B-C50C-407E-A947-70E740481C1C}">
                          <a14:useLocalDpi xmlns:a14="http://schemas.microsoft.com/office/drawing/2010/main" val="0"/>
                        </a:ext>
                      </a:extLst>
                    </a:blip>
                    <a:srcRect l="29445" t="27426" r="27548" b="25521"/>
                    <a:stretch/>
                  </pic:blipFill>
                  <pic:spPr bwMode="auto">
                    <a:xfrm>
                      <a:off x="0" y="0"/>
                      <a:ext cx="7199630" cy="78765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CBF9DA2" w14:textId="77777777" w:rsidR="00E82943" w:rsidRPr="00AC072B" w:rsidRDefault="00EC75A8" w:rsidP="00046A23">
      <w:pPr>
        <w:rPr>
          <w:sz w:val="18"/>
        </w:rPr>
      </w:pPr>
      <w:r w:rsidRPr="00AC072B">
        <w:rPr>
          <w:noProof/>
          <w:sz w:val="18"/>
          <w:lang w:val="en-US"/>
        </w:rPr>
        <w:drawing>
          <wp:anchor distT="0" distB="0" distL="114300" distR="114300" simplePos="0" relativeHeight="251661312" behindDoc="0" locked="0" layoutInCell="1" allowOverlap="1" wp14:anchorId="70438793" wp14:editId="69B51620">
            <wp:simplePos x="0" y="0"/>
            <wp:positionH relativeFrom="column">
              <wp:posOffset>-2954655</wp:posOffset>
            </wp:positionH>
            <wp:positionV relativeFrom="paragraph">
              <wp:posOffset>3570605</wp:posOffset>
            </wp:positionV>
            <wp:extent cx="6759575" cy="6217285"/>
            <wp:effectExtent l="0" t="0" r="0" b="0"/>
            <wp:wrapNone/>
            <wp:docPr id="24189395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93951" name="Picture 4"/>
                    <pic:cNvPicPr/>
                  </pic:nvPicPr>
                  <pic:blipFill rotWithShape="1">
                    <a:blip r:embed="rId10">
                      <a:extLst>
                        <a:ext uri="{28A0092B-C50C-407E-A947-70E740481C1C}">
                          <a14:useLocalDpi xmlns:a14="http://schemas.microsoft.com/office/drawing/2010/main" val="0"/>
                        </a:ext>
                      </a:extLst>
                    </a:blip>
                    <a:srcRect l="25644" t="26315" r="28200" b="31231"/>
                    <a:stretch/>
                  </pic:blipFill>
                  <pic:spPr bwMode="auto">
                    <a:xfrm>
                      <a:off x="0" y="0"/>
                      <a:ext cx="6759575" cy="62172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C072B">
        <w:rPr>
          <w:noProof/>
          <w:sz w:val="18"/>
          <w:lang w:val="en-US"/>
        </w:rPr>
        <mc:AlternateContent>
          <mc:Choice Requires="wps">
            <w:drawing>
              <wp:anchor distT="0" distB="0" distL="114300" distR="114300" simplePos="0" relativeHeight="251664384" behindDoc="0" locked="0" layoutInCell="1" allowOverlap="1" wp14:anchorId="631EAFE6" wp14:editId="2B4F0870">
                <wp:simplePos x="0" y="0"/>
                <wp:positionH relativeFrom="column">
                  <wp:posOffset>2425700</wp:posOffset>
                </wp:positionH>
                <wp:positionV relativeFrom="paragraph">
                  <wp:posOffset>6562090</wp:posOffset>
                </wp:positionV>
                <wp:extent cx="3495675" cy="1320800"/>
                <wp:effectExtent l="0" t="0" r="0" b="0"/>
                <wp:wrapNone/>
                <wp:docPr id="305655870" name="Text Box 8"/>
                <wp:cNvGraphicFramePr/>
                <a:graphic xmlns:a="http://schemas.openxmlformats.org/drawingml/2006/main">
                  <a:graphicData uri="http://schemas.microsoft.com/office/word/2010/wordprocessingShape">
                    <wps:wsp>
                      <wps:cNvSpPr txBox="1"/>
                      <wps:spPr>
                        <a:xfrm>
                          <a:off x="0" y="0"/>
                          <a:ext cx="3495675" cy="1320800"/>
                        </a:xfrm>
                        <a:prstGeom prst="rect">
                          <a:avLst/>
                        </a:prstGeom>
                        <a:noFill/>
                        <a:ln w="6350">
                          <a:noFill/>
                        </a:ln>
                      </wps:spPr>
                      <wps:txbx>
                        <w:txbxContent>
                          <w:p w14:paraId="720DBD1D" w14:textId="0142C70C" w:rsidR="00C51B7E" w:rsidRPr="00046A23" w:rsidRDefault="00046A23" w:rsidP="00046A23">
                            <w:pPr>
                              <w:pStyle w:val="Title"/>
                            </w:pPr>
                            <w:r>
                              <w:t xml:space="preserve">Ключови </w:t>
                            </w:r>
                            <w:r>
                              <w:rPr>
                                <w:b w:val="0"/>
                              </w:rPr>
                              <w:t>послания</w:t>
                            </w:r>
                          </w:p>
                          <w:p w14:paraId="3590FB96" w14:textId="4FFADE1B" w:rsidR="00C51B7E" w:rsidRPr="00046A23" w:rsidRDefault="00046A23" w:rsidP="00046A23">
                            <w:pPr>
                              <w:pStyle w:val="Heading2"/>
                            </w:pPr>
                            <w:r>
                              <w:t>Кампания 2024-2025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31EAFE6" id="_x0000_t202" coordsize="21600,21600" o:spt="202" path="m,l,21600r21600,l21600,xe">
                <v:stroke joinstyle="miter"/>
                <v:path gradientshapeok="t" o:connecttype="rect"/>
              </v:shapetype>
              <v:shape id="Text Box 8" o:spid="_x0000_s1026" type="#_x0000_t202" style="position:absolute;margin-left:191pt;margin-top:516.7pt;width:275.25pt;height:10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" filled="f" stroked="f" strokeweight=".5pt">
                <v:textbox>
                  <w:txbxContent>
                    <w:p w14:paraId="720DBD1D" w14:textId="0142C70C" w:rsidR="00C51B7E" w:rsidRPr="00046A23" w:rsidRDefault="00046A23" w:rsidP="00046A23">
                      <w:pPr>
                        <w:pStyle w:val="Title"/>
                      </w:pPr>
                      <w:r>
                        <w:t xml:space="preserve">Ключови </w:t>
                      </w:r>
                      <w:r>
                        <w:rPr>
                          <w:b w:val="0"/>
                        </w:rPr>
                        <w:t>послания</w:t>
                      </w:r>
                    </w:p>
                    <w:p w14:paraId="3590FB96" w14:textId="4FFADE1B" w:rsidR="00C51B7E" w:rsidRPr="00046A23" w:rsidRDefault="00046A23" w:rsidP="00046A23">
                      <w:pPr>
                        <w:pStyle w:val="Heading2"/>
                      </w:pPr>
                      <w:r>
                        <w:t>Кампания 2024-2025</w:t>
                      </w:r>
                    </w:p>
                  </w:txbxContent>
                </v:textbox>
              </v:shape>
            </w:pict>
          </mc:Fallback>
        </mc:AlternateContent>
      </w:r>
      <w:r w:rsidRPr="00AC072B">
        <w:rPr>
          <w:noProof/>
          <w:sz w:val="18"/>
          <w:lang w:val="en-US"/>
        </w:rPr>
        <w:drawing>
          <wp:anchor distT="0" distB="0" distL="114300" distR="114300" simplePos="0" relativeHeight="251660288" behindDoc="0" locked="0" layoutInCell="1" allowOverlap="1" wp14:anchorId="12036A29" wp14:editId="69455B97">
            <wp:simplePos x="0" y="0"/>
            <wp:positionH relativeFrom="column">
              <wp:posOffset>3549015</wp:posOffset>
            </wp:positionH>
            <wp:positionV relativeFrom="paragraph">
              <wp:posOffset>5377180</wp:posOffset>
            </wp:positionV>
            <wp:extent cx="1173480" cy="572135"/>
            <wp:effectExtent l="0" t="0" r="0" b="0"/>
            <wp:wrapNone/>
            <wp:docPr id="148557721" name="Picture 3"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57721" name="Picture 3" descr="A black background with a black square&#10;&#10;Description automatically generated with medium confidence"/>
                    <pic:cNvPicPr/>
                  </pic:nvPicPr>
                  <pic:blipFill rotWithShape="1">
                    <a:blip r:embed="rId11" cstate="print">
                      <a:extLst>
                        <a:ext uri="{28A0092B-C50C-407E-A947-70E740481C1C}">
                          <a14:useLocalDpi xmlns:a14="http://schemas.microsoft.com/office/drawing/2010/main" val="0"/>
                        </a:ext>
                      </a:extLst>
                    </a:blip>
                    <a:srcRect l="38259" t="42241" r="41261" b="47786"/>
                    <a:stretch/>
                  </pic:blipFill>
                  <pic:spPr bwMode="auto">
                    <a:xfrm>
                      <a:off x="0" y="0"/>
                      <a:ext cx="1173480"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C072B">
        <w:rPr>
          <w:noProof/>
          <w:sz w:val="18"/>
          <w:lang w:val="en-US"/>
        </w:rPr>
        <w:drawing>
          <wp:anchor distT="0" distB="0" distL="114300" distR="114300" simplePos="0" relativeHeight="251663360" behindDoc="0" locked="0" layoutInCell="1" allowOverlap="1" wp14:anchorId="7EC84B1A" wp14:editId="64F610A4">
            <wp:simplePos x="0" y="0"/>
            <wp:positionH relativeFrom="column">
              <wp:posOffset>5557520</wp:posOffset>
            </wp:positionH>
            <wp:positionV relativeFrom="paragraph">
              <wp:posOffset>8690610</wp:posOffset>
            </wp:positionV>
            <wp:extent cx="358775" cy="239395"/>
            <wp:effectExtent l="0" t="0" r="0" b="1905"/>
            <wp:wrapNone/>
            <wp:docPr id="643723447" name="Picture 7" descr="A blue flag with yellow sta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723447" name="Picture 7" descr="A blue flag with yellow stars&#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58775" cy="239395"/>
                    </a:xfrm>
                    <a:prstGeom prst="rect">
                      <a:avLst/>
                    </a:prstGeom>
                  </pic:spPr>
                </pic:pic>
              </a:graphicData>
            </a:graphic>
            <wp14:sizeRelH relativeFrom="margin">
              <wp14:pctWidth>0</wp14:pctWidth>
            </wp14:sizeRelH>
            <wp14:sizeRelV relativeFrom="margin">
              <wp14:pctHeight>0</wp14:pctHeight>
            </wp14:sizeRelV>
          </wp:anchor>
        </w:drawing>
      </w:r>
      <w:r w:rsidRPr="00AC072B">
        <w:rPr>
          <w:noProof/>
          <w:sz w:val="42"/>
          <w:lang w:val="en-US"/>
        </w:rPr>
        <w:drawing>
          <wp:anchor distT="0" distB="0" distL="114300" distR="114300" simplePos="0" relativeHeight="251662336" behindDoc="0" locked="0" layoutInCell="1" allowOverlap="1" wp14:anchorId="4EE94882" wp14:editId="668F7067">
            <wp:simplePos x="0" y="0"/>
            <wp:positionH relativeFrom="column">
              <wp:posOffset>3803650</wp:posOffset>
            </wp:positionH>
            <wp:positionV relativeFrom="paragraph">
              <wp:posOffset>8503920</wp:posOffset>
            </wp:positionV>
            <wp:extent cx="1028700" cy="514350"/>
            <wp:effectExtent l="0" t="0" r="0" b="6350"/>
            <wp:wrapNone/>
            <wp:docPr id="996788727" name="Picture 5" descr="A logo for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788727" name="Picture 5" descr="A logo for a company&#10;&#10;Description automatically generated"/>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514350"/>
                    </a:xfrm>
                    <a:prstGeom prst="rect">
                      <a:avLst/>
                    </a:prstGeom>
                  </pic:spPr>
                </pic:pic>
              </a:graphicData>
            </a:graphic>
            <wp14:sizeRelH relativeFrom="margin">
              <wp14:pctWidth>0</wp14:pctWidth>
            </wp14:sizeRelH>
            <wp14:sizeRelV relativeFrom="margin">
              <wp14:pctHeight>0</wp14:pctHeight>
            </wp14:sizeRelV>
          </wp:anchor>
        </w:drawing>
      </w:r>
      <w:r w:rsidRPr="00AC072B">
        <w:rPr>
          <w:sz w:val="18"/>
        </w:rPr>
        <w:br w:type="page"/>
      </w:r>
    </w:p>
    <w:p w14:paraId="47F8665C" w14:textId="77777777" w:rsidR="00046A23" w:rsidRPr="00AC072B" w:rsidRDefault="00046A23" w:rsidP="00046A23">
      <w:pPr>
        <w:pStyle w:val="Heading1"/>
        <w:rPr>
          <w:sz w:val="42"/>
        </w:rPr>
      </w:pPr>
      <w:r w:rsidRPr="00AC072B">
        <w:rPr>
          <w:rStyle w:val="TitleChar"/>
          <w:sz w:val="58"/>
        </w:rPr>
        <w:lastRenderedPageBreak/>
        <w:t xml:space="preserve">Резюме на </w:t>
      </w:r>
      <w:r w:rsidRPr="00AC072B">
        <w:rPr>
          <w:rStyle w:val="TitleChar"/>
          <w:b/>
          <w:sz w:val="58"/>
        </w:rPr>
        <w:t>кампанията</w:t>
      </w:r>
    </w:p>
    <w:p w14:paraId="1F7BBCF4" w14:textId="77777777" w:rsidR="00046A23" w:rsidRPr="00AC072B" w:rsidRDefault="00046A23" w:rsidP="00046A23">
      <w:pPr>
        <w:pStyle w:val="Heading2"/>
        <w:rPr>
          <w:sz w:val="22"/>
        </w:rPr>
      </w:pPr>
      <w:r w:rsidRPr="00AC072B">
        <w:rPr>
          <w:sz w:val="22"/>
        </w:rPr>
        <w:t>Име на кампанията</w:t>
      </w:r>
    </w:p>
    <w:p w14:paraId="690C94D6" w14:textId="77777777" w:rsidR="00046A23" w:rsidRPr="00AC072B" w:rsidRDefault="00046A23" w:rsidP="00046A23">
      <w:pPr>
        <w:rPr>
          <w:sz w:val="18"/>
        </w:rPr>
      </w:pPr>
      <w:r w:rsidRPr="00AC072B">
        <w:rPr>
          <w:sz w:val="18"/>
        </w:rPr>
        <w:t>The Cities Heat Detox (Детокс на отоплението на градовете).</w:t>
      </w:r>
    </w:p>
    <w:p w14:paraId="22B6B86D" w14:textId="77777777" w:rsidR="00046A23" w:rsidRPr="00AC072B" w:rsidRDefault="00046A23" w:rsidP="00046A23">
      <w:pPr>
        <w:pStyle w:val="Heading2"/>
        <w:rPr>
          <w:sz w:val="22"/>
        </w:rPr>
      </w:pPr>
      <w:r w:rsidRPr="00AC072B">
        <w:rPr>
          <w:sz w:val="22"/>
        </w:rPr>
        <w:t>Тема на кампанията</w:t>
      </w:r>
    </w:p>
    <w:p w14:paraId="56CDE98A" w14:textId="77777777" w:rsidR="00046A23" w:rsidRPr="00AC072B" w:rsidRDefault="00046A23" w:rsidP="00046A23">
      <w:pPr>
        <w:rPr>
          <w:sz w:val="18"/>
        </w:rPr>
      </w:pPr>
      <w:r w:rsidRPr="00AC072B">
        <w:rPr>
          <w:sz w:val="18"/>
        </w:rPr>
        <w:t>Декарбонизация на централното отопление в съответствие с целта на ЕС за поетапно спиране на използването газ</w:t>
      </w:r>
    </w:p>
    <w:p w14:paraId="348538F6" w14:textId="77777777" w:rsidR="00046A23" w:rsidRPr="00AC072B" w:rsidRDefault="00046A23" w:rsidP="00046A23">
      <w:pPr>
        <w:pStyle w:val="Heading2"/>
        <w:rPr>
          <w:sz w:val="22"/>
        </w:rPr>
      </w:pPr>
      <w:r w:rsidRPr="00AC072B">
        <w:rPr>
          <w:sz w:val="22"/>
        </w:rPr>
        <w:t>Продължителност на кампанията</w:t>
      </w:r>
    </w:p>
    <w:p w14:paraId="75E7096F" w14:textId="77777777" w:rsidR="00046A23" w:rsidRPr="00AC072B" w:rsidRDefault="00046A23" w:rsidP="00046A23">
      <w:pPr>
        <w:rPr>
          <w:sz w:val="18"/>
        </w:rPr>
      </w:pPr>
      <w:r w:rsidRPr="00AC072B">
        <w:rPr>
          <w:sz w:val="18"/>
        </w:rPr>
        <w:t>Юни 2024 – юни 2025</w:t>
      </w:r>
    </w:p>
    <w:p w14:paraId="3B61DFE2" w14:textId="77777777" w:rsidR="00046A23" w:rsidRPr="00AC072B" w:rsidRDefault="00046A23" w:rsidP="00046A23">
      <w:pPr>
        <w:pStyle w:val="Heading2"/>
        <w:rPr>
          <w:sz w:val="22"/>
        </w:rPr>
      </w:pPr>
      <w:r w:rsidRPr="00AC072B">
        <w:rPr>
          <w:sz w:val="22"/>
        </w:rPr>
        <w:t>Обща информация</w:t>
      </w:r>
    </w:p>
    <w:p w14:paraId="34D6C4FB" w14:textId="77777777" w:rsidR="00046A23" w:rsidRPr="00AC072B" w:rsidRDefault="00046A23" w:rsidP="00046A23">
      <w:pPr>
        <w:rPr>
          <w:sz w:val="18"/>
        </w:rPr>
      </w:pPr>
      <w:r w:rsidRPr="00AC072B">
        <w:rPr>
          <w:sz w:val="18"/>
        </w:rPr>
        <w:t>Във връзка с инициативата на ЕС за поетапно спиране на използването на газ настоящата кампания ще подчертае решаващата роля на декарбонизацията на отоплителните системи на градовете за постигане на амбициите на Европа. Чрез широкия си спектър от дейности кампанията има за цел да повиши осведомеността и да осигури възможност на местните органи да направят преход към ресурси, различни от изкопаемите горива, като предприемат всеобхватно планиране на топлоподаването и въведат устойчиви колективни системи за централно отопление. За тази цел кампанията ще наблегне върху съпътстващите ползи от декарбонизацията на отоплението в градовете: по-чист въздух, по-модерна икономика и повишаване на енергийната сигурност. </w:t>
      </w:r>
    </w:p>
    <w:p w14:paraId="2E4FAFE5" w14:textId="77777777" w:rsidR="00046A23" w:rsidRPr="00AC072B" w:rsidRDefault="00046A23" w:rsidP="00046A23">
      <w:pPr>
        <w:pStyle w:val="Heading1"/>
        <w:rPr>
          <w:sz w:val="42"/>
        </w:rPr>
      </w:pPr>
      <w:r w:rsidRPr="00AC072B">
        <w:rPr>
          <w:rStyle w:val="TitleChar"/>
          <w:sz w:val="58"/>
        </w:rPr>
        <w:t xml:space="preserve">Накратко за </w:t>
      </w:r>
      <w:r w:rsidRPr="00AC072B">
        <w:rPr>
          <w:rStyle w:val="TitleChar"/>
          <w:b/>
          <w:sz w:val="58"/>
        </w:rPr>
        <w:t>кампанията</w:t>
      </w:r>
    </w:p>
    <w:p w14:paraId="421BAE72" w14:textId="77777777" w:rsidR="00046A23" w:rsidRPr="00AC072B" w:rsidRDefault="00046A23" w:rsidP="00046A23">
      <w:pPr>
        <w:pStyle w:val="Heading2"/>
        <w:rPr>
          <w:sz w:val="22"/>
          <w:u w:val="single"/>
        </w:rPr>
      </w:pPr>
      <w:r w:rsidRPr="00AC072B">
        <w:rPr>
          <w:sz w:val="22"/>
          <w:u w:val="single"/>
        </w:rPr>
        <w:t>The Cities Heat Detox (Детокс на отоплението на градовете)</w:t>
      </w:r>
    </w:p>
    <w:p w14:paraId="3B00257A" w14:textId="77777777" w:rsidR="00046A23" w:rsidRPr="00AC072B" w:rsidRDefault="00046A23" w:rsidP="00046A23">
      <w:pPr>
        <w:pStyle w:val="Heading2"/>
        <w:rPr>
          <w:sz w:val="22"/>
        </w:rPr>
      </w:pPr>
      <w:r w:rsidRPr="00AC072B">
        <w:rPr>
          <w:sz w:val="22"/>
        </w:rPr>
        <w:t>Здравословно отопление за градовете</w:t>
      </w:r>
    </w:p>
    <w:p w14:paraId="0FAA9FE7" w14:textId="77777777" w:rsidR="00046A23" w:rsidRPr="00AC072B" w:rsidRDefault="00046A23" w:rsidP="00046A23">
      <w:pPr>
        <w:spacing w:after="0"/>
        <w:rPr>
          <w:color w:val="000000" w:themeColor="text1"/>
          <w:sz w:val="18"/>
        </w:rPr>
      </w:pPr>
      <w:r w:rsidRPr="00AC072B">
        <w:rPr>
          <w:color w:val="000000" w:themeColor="text1"/>
          <w:sz w:val="18"/>
        </w:rPr>
        <w:t>За по-чист въздух, по-силна икономика и по-устойчиви общности.</w:t>
      </w:r>
    </w:p>
    <w:p w14:paraId="1FC50795" w14:textId="77777777" w:rsidR="00046A23" w:rsidRPr="00AC072B" w:rsidRDefault="00046A23" w:rsidP="00046A23">
      <w:pPr>
        <w:spacing w:after="0"/>
        <w:rPr>
          <w:color w:val="000000" w:themeColor="text1"/>
          <w:sz w:val="18"/>
        </w:rPr>
      </w:pPr>
    </w:p>
    <w:p w14:paraId="64C0AE7A" w14:textId="77777777" w:rsidR="00046A23" w:rsidRPr="00AC072B" w:rsidRDefault="00046A23" w:rsidP="00046A23">
      <w:pPr>
        <w:spacing w:after="0"/>
        <w:rPr>
          <w:i/>
          <w:iCs/>
          <w:color w:val="000000" w:themeColor="text1"/>
          <w:sz w:val="18"/>
        </w:rPr>
      </w:pPr>
      <w:r w:rsidRPr="00AC072B">
        <w:rPr>
          <w:i/>
          <w:color w:val="000000" w:themeColor="text1"/>
          <w:sz w:val="18"/>
        </w:rPr>
        <w:t>#HealthyHeat4Cities #CitiesHeatDetox</w:t>
      </w:r>
    </w:p>
    <w:p w14:paraId="4EF265DF" w14:textId="77777777" w:rsidR="00046A23" w:rsidRPr="00AC072B" w:rsidRDefault="00046A23" w:rsidP="00046A23">
      <w:pPr>
        <w:spacing w:after="0"/>
        <w:rPr>
          <w:sz w:val="18"/>
          <w:lang w:val="en-US"/>
        </w:rPr>
      </w:pPr>
    </w:p>
    <w:p w14:paraId="443AF6E6" w14:textId="4F41E08A" w:rsidR="00046A23" w:rsidRPr="00AC072B" w:rsidRDefault="00046A23" w:rsidP="00046A23">
      <w:pPr>
        <w:spacing w:after="0"/>
        <w:rPr>
          <w:sz w:val="18"/>
        </w:rPr>
      </w:pPr>
      <w:r w:rsidRPr="00AC072B">
        <w:rPr>
          <w:sz w:val="18"/>
        </w:rPr>
        <w:t xml:space="preserve">Начинът, по който се отопляваме в наши дни – чрез изгаряне на изкопаеми горива, е пагубен за околната среда, нашето здраве и обществото ни. Отоплението с изкопаеми горива, каквото е 72% от отоплението на сградите в Европа в момента, допринася за изменението на климата, енергийната несигурност и влошаването на качеството на въздуха. Няма съмнение, че по-здравословното и </w:t>
      </w:r>
      <w:r w:rsidR="00AC072B" w:rsidRPr="00AC072B">
        <w:rPr>
          <w:sz w:val="18"/>
        </w:rPr>
        <w:t>по-</w:t>
      </w:r>
      <w:r w:rsidRPr="00AC072B">
        <w:rPr>
          <w:sz w:val="18"/>
        </w:rPr>
        <w:t xml:space="preserve">сигурно бъдеще се крие в цялостното прочистване на </w:t>
      </w:r>
      <w:r w:rsidR="00AC072B" w:rsidRPr="00AC072B">
        <w:rPr>
          <w:sz w:val="18"/>
        </w:rPr>
        <w:t xml:space="preserve">нашите </w:t>
      </w:r>
      <w:r w:rsidRPr="00AC072B">
        <w:rPr>
          <w:sz w:val="18"/>
        </w:rPr>
        <w:t xml:space="preserve">градове от токсичните източници на топлина. </w:t>
      </w:r>
    </w:p>
    <w:p w14:paraId="251EBC0F" w14:textId="77777777" w:rsidR="00046A23" w:rsidRPr="00AC072B" w:rsidRDefault="00046A23" w:rsidP="00046A23">
      <w:pPr>
        <w:spacing w:after="0"/>
        <w:rPr>
          <w:sz w:val="18"/>
        </w:rPr>
      </w:pPr>
    </w:p>
    <w:p w14:paraId="27215182" w14:textId="40FB60BD" w:rsidR="00046A23" w:rsidRPr="00AC072B" w:rsidRDefault="00046A23" w:rsidP="00046A23">
      <w:pPr>
        <w:spacing w:after="0"/>
        <w:rPr>
          <w:sz w:val="18"/>
        </w:rPr>
      </w:pPr>
      <w:r w:rsidRPr="00AC072B">
        <w:rPr>
          <w:sz w:val="18"/>
        </w:rPr>
        <w:t>Градовете имат потенциал да постигнат огромна промяна. Чрез ефективно планиране на топлоподаването и разширяване на колективните решения</w:t>
      </w:r>
      <w:r w:rsidR="00AC072B" w:rsidRPr="00AC072B">
        <w:rPr>
          <w:sz w:val="18"/>
        </w:rPr>
        <w:t>,</w:t>
      </w:r>
      <w:r w:rsidRPr="00AC072B">
        <w:rPr>
          <w:sz w:val="18"/>
        </w:rPr>
        <w:t xml:space="preserve"> като декарбонизирано централно отопление</w:t>
      </w:r>
      <w:r w:rsidR="00AC072B" w:rsidRPr="00AC072B">
        <w:rPr>
          <w:sz w:val="18"/>
        </w:rPr>
        <w:t>,</w:t>
      </w:r>
      <w:r w:rsidRPr="00AC072B">
        <w:rPr>
          <w:sz w:val="18"/>
        </w:rPr>
        <w:t xml:space="preserve"> местните органи на самоуправление могат постепенно да постигнат </w:t>
      </w:r>
      <w:r w:rsidR="00AC072B" w:rsidRPr="00AC072B">
        <w:rPr>
          <w:sz w:val="18"/>
        </w:rPr>
        <w:t xml:space="preserve">поетапно </w:t>
      </w:r>
      <w:r w:rsidRPr="00AC072B">
        <w:rPr>
          <w:sz w:val="18"/>
        </w:rPr>
        <w:t>спиране на из</w:t>
      </w:r>
      <w:r w:rsidR="00AC072B" w:rsidRPr="00AC072B">
        <w:rPr>
          <w:sz w:val="18"/>
        </w:rPr>
        <w:t>ползването на газ за отопление в широк мащаб.</w:t>
      </w:r>
    </w:p>
    <w:p w14:paraId="4440BBB2" w14:textId="77777777" w:rsidR="00046A23" w:rsidRPr="00AC072B" w:rsidRDefault="00046A23" w:rsidP="00046A23">
      <w:pPr>
        <w:spacing w:after="0"/>
        <w:rPr>
          <w:sz w:val="18"/>
        </w:rPr>
      </w:pPr>
    </w:p>
    <w:p w14:paraId="026D82D8" w14:textId="77777777" w:rsidR="00046A23" w:rsidRPr="00AC072B" w:rsidRDefault="00046A23" w:rsidP="00046A23">
      <w:pPr>
        <w:spacing w:after="0"/>
        <w:rPr>
          <w:b/>
          <w:bCs/>
          <w:sz w:val="18"/>
        </w:rPr>
      </w:pPr>
      <w:r w:rsidRPr="00AC072B">
        <w:rPr>
          <w:b/>
          <w:sz w:val="18"/>
        </w:rPr>
        <w:t xml:space="preserve">Станете част от движението на европейските градове, които извършват детокс на отоплението си, като избират сигурно и здравословно бъдеще за всички. </w:t>
      </w:r>
    </w:p>
    <w:p w14:paraId="3E415084" w14:textId="77777777" w:rsidR="00046A23" w:rsidRDefault="00046A23" w:rsidP="00046A23">
      <w:pPr>
        <w:rPr>
          <w:sz w:val="18"/>
        </w:rPr>
      </w:pPr>
    </w:p>
    <w:p w14:paraId="5AE2210B" w14:textId="77777777" w:rsidR="00B467A5" w:rsidRDefault="00B467A5">
      <w:pPr>
        <w:spacing w:after="0"/>
        <w:rPr>
          <w:sz w:val="18"/>
        </w:rPr>
      </w:pPr>
      <w:r>
        <w:rPr>
          <w:b/>
          <w:bCs/>
          <w:sz w:val="18"/>
        </w:rPr>
        <w:br w:type="page"/>
      </w:r>
    </w:p>
    <w:p w14:paraId="4DE05BFE" w14:textId="55EC0755" w:rsidR="00046A23" w:rsidRPr="00AC072B" w:rsidRDefault="00046A23" w:rsidP="00046A23">
      <w:pPr>
        <w:pStyle w:val="Heading1"/>
        <w:rPr>
          <w:sz w:val="40"/>
        </w:rPr>
      </w:pPr>
      <w:r w:rsidRPr="00AC072B">
        <w:rPr>
          <w:b w:val="0"/>
          <w:sz w:val="40"/>
        </w:rPr>
        <w:lastRenderedPageBreak/>
        <w:t>Стълб 1</w:t>
      </w:r>
      <w:r w:rsidRPr="00AC072B">
        <w:rPr>
          <w:sz w:val="40"/>
        </w:rPr>
        <w:t xml:space="preserve"> на посланието</w:t>
      </w:r>
    </w:p>
    <w:p w14:paraId="3335FB36" w14:textId="77777777" w:rsidR="00046A23" w:rsidRPr="00AC072B" w:rsidRDefault="00046A23" w:rsidP="00046A23">
      <w:pPr>
        <w:pStyle w:val="Heading2"/>
        <w:rPr>
          <w:sz w:val="22"/>
        </w:rPr>
      </w:pPr>
      <w:r w:rsidRPr="00AC072B">
        <w:rPr>
          <w:sz w:val="22"/>
        </w:rPr>
        <w:t>Защо да се приложи детокс на отоплението на градовете?</w:t>
      </w:r>
    </w:p>
    <w:tbl>
      <w:tblPr>
        <w:tblStyle w:val="TableGrid"/>
        <w:tblW w:w="9060"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Layout w:type="fixed"/>
        <w:tblCellMar>
          <w:top w:w="85" w:type="dxa"/>
          <w:bottom w:w="85" w:type="dxa"/>
        </w:tblCellMar>
        <w:tblLook w:val="06A0" w:firstRow="1" w:lastRow="0" w:firstColumn="1" w:lastColumn="0" w:noHBand="1" w:noVBand="1"/>
      </w:tblPr>
      <w:tblGrid>
        <w:gridCol w:w="3020"/>
        <w:gridCol w:w="3020"/>
        <w:gridCol w:w="3020"/>
      </w:tblGrid>
      <w:tr w:rsidR="00046A23" w:rsidRPr="00AC072B" w14:paraId="4A56E8B5" w14:textId="77777777" w:rsidTr="00AC072B">
        <w:trPr>
          <w:trHeight w:val="1454"/>
        </w:trPr>
        <w:tc>
          <w:tcPr>
            <w:tcW w:w="9060" w:type="dxa"/>
            <w:gridSpan w:val="3"/>
            <w:shd w:val="clear" w:color="auto" w:fill="F2F2F2" w:themeFill="background1" w:themeFillShade="F2"/>
          </w:tcPr>
          <w:p w14:paraId="38F31B96" w14:textId="77777777" w:rsidR="00046A23" w:rsidRPr="00AC072B" w:rsidRDefault="00046A23" w:rsidP="004C6886">
            <w:pPr>
              <w:jc w:val="center"/>
              <w:rPr>
                <w:b/>
                <w:bCs/>
                <w:color w:val="000000" w:themeColor="text1"/>
                <w:sz w:val="18"/>
              </w:rPr>
            </w:pPr>
            <w:r w:rsidRPr="00AC072B">
              <w:rPr>
                <w:b/>
                <w:color w:val="000000" w:themeColor="text1"/>
                <w:sz w:val="18"/>
              </w:rPr>
              <w:t>За здраво население на градовете</w:t>
            </w:r>
          </w:p>
          <w:p w14:paraId="61762295" w14:textId="77777777" w:rsidR="00046A23" w:rsidRPr="00AC072B" w:rsidRDefault="00046A23" w:rsidP="004C6886">
            <w:pPr>
              <w:jc w:val="center"/>
              <w:rPr>
                <w:color w:val="000000" w:themeColor="text1"/>
                <w:sz w:val="18"/>
              </w:rPr>
            </w:pPr>
            <w:r w:rsidRPr="00AC072B">
              <w:rPr>
                <w:color w:val="000000" w:themeColor="text1"/>
                <w:sz w:val="18"/>
              </w:rPr>
              <w:t>Опазването на човешкото здраве в градовете означава избягване на токсичните източници на топлина.</w:t>
            </w:r>
          </w:p>
          <w:p w14:paraId="0C1986D9" w14:textId="0BCCC661" w:rsidR="00046A23" w:rsidRPr="00AC072B" w:rsidRDefault="00046A23" w:rsidP="00AC072B">
            <w:pPr>
              <w:jc w:val="center"/>
              <w:rPr>
                <w:color w:val="000000" w:themeColor="text1"/>
                <w:sz w:val="18"/>
              </w:rPr>
            </w:pPr>
            <w:r w:rsidRPr="00AC072B">
              <w:rPr>
                <w:color w:val="000000" w:themeColor="text1"/>
                <w:sz w:val="18"/>
              </w:rPr>
              <w:t xml:space="preserve">В световната борба срещу изменението на климата детоксът на отоплението в градовете е важна стъпка </w:t>
            </w:r>
            <w:r w:rsidR="00AC072B" w:rsidRPr="00AC072B">
              <w:rPr>
                <w:color w:val="000000" w:themeColor="text1"/>
                <w:sz w:val="18"/>
              </w:rPr>
              <w:t>за</w:t>
            </w:r>
            <w:r w:rsidRPr="00AC072B">
              <w:rPr>
                <w:color w:val="000000" w:themeColor="text1"/>
                <w:sz w:val="18"/>
              </w:rPr>
              <w:t xml:space="preserve"> постигане на нулеви нетни емисии в Европа до 2050 г.</w:t>
            </w:r>
          </w:p>
        </w:tc>
      </w:tr>
      <w:tr w:rsidR="00046A23" w:rsidRPr="00AC072B" w14:paraId="36944075" w14:textId="77777777" w:rsidTr="00AC072B">
        <w:trPr>
          <w:trHeight w:val="2073"/>
        </w:trPr>
        <w:tc>
          <w:tcPr>
            <w:tcW w:w="3020" w:type="dxa"/>
            <w:shd w:val="clear" w:color="auto" w:fill="F2F2F2" w:themeFill="background1" w:themeFillShade="F2"/>
          </w:tcPr>
          <w:p w14:paraId="032A323D" w14:textId="77777777" w:rsidR="00046A23" w:rsidRPr="00AC072B" w:rsidRDefault="00046A23" w:rsidP="004C6886">
            <w:pPr>
              <w:jc w:val="center"/>
              <w:rPr>
                <w:b/>
                <w:bCs/>
                <w:color w:val="000000" w:themeColor="text1"/>
                <w:sz w:val="18"/>
              </w:rPr>
            </w:pPr>
            <w:r w:rsidRPr="00AC072B">
              <w:rPr>
                <w:b/>
                <w:color w:val="000000" w:themeColor="text1"/>
                <w:sz w:val="18"/>
              </w:rPr>
              <w:t>За по-чист въздух</w:t>
            </w:r>
          </w:p>
          <w:p w14:paraId="1E7479A3" w14:textId="4B56A001" w:rsidR="00046A23" w:rsidRPr="00AC072B" w:rsidRDefault="00046A23" w:rsidP="00AC072B">
            <w:pPr>
              <w:jc w:val="center"/>
              <w:rPr>
                <w:b/>
                <w:bCs/>
                <w:sz w:val="18"/>
              </w:rPr>
            </w:pPr>
            <w:r w:rsidRPr="00AC072B">
              <w:rPr>
                <w:sz w:val="18"/>
              </w:rPr>
              <w:t>За подобряване на качеството на въздуха и здравето на населението в градовете, особено в гъстонаселените градски райони, и за опазване на околната среда и благо</w:t>
            </w:r>
            <w:r w:rsidR="00AC072B" w:rsidRPr="00AC072B">
              <w:rPr>
                <w:sz w:val="18"/>
              </w:rPr>
              <w:t>получието</w:t>
            </w:r>
            <w:r w:rsidRPr="00AC072B">
              <w:rPr>
                <w:sz w:val="18"/>
              </w:rPr>
              <w:t xml:space="preserve"> на гражданите в града.</w:t>
            </w:r>
          </w:p>
        </w:tc>
        <w:tc>
          <w:tcPr>
            <w:tcW w:w="3020" w:type="dxa"/>
            <w:shd w:val="clear" w:color="auto" w:fill="F2F2F2" w:themeFill="background1" w:themeFillShade="F2"/>
          </w:tcPr>
          <w:p w14:paraId="756B20FF" w14:textId="77777777" w:rsidR="00046A23" w:rsidRPr="00AC072B" w:rsidRDefault="00046A23" w:rsidP="004C6886">
            <w:pPr>
              <w:jc w:val="center"/>
              <w:rPr>
                <w:b/>
                <w:bCs/>
                <w:color w:val="000000" w:themeColor="text1"/>
                <w:sz w:val="18"/>
              </w:rPr>
            </w:pPr>
            <w:r w:rsidRPr="00AC072B">
              <w:rPr>
                <w:b/>
                <w:color w:val="000000" w:themeColor="text1"/>
                <w:sz w:val="18"/>
              </w:rPr>
              <w:t>За по-силна икономика</w:t>
            </w:r>
          </w:p>
          <w:p w14:paraId="3E9EC6D1" w14:textId="5545260C" w:rsidR="00046A23" w:rsidRPr="00AC072B" w:rsidRDefault="00046A23" w:rsidP="00AC072B">
            <w:pPr>
              <w:jc w:val="center"/>
              <w:rPr>
                <w:b/>
                <w:bCs/>
                <w:color w:val="000000" w:themeColor="text1"/>
                <w:sz w:val="18"/>
              </w:rPr>
            </w:pPr>
            <w:r w:rsidRPr="00AC072B">
              <w:rPr>
                <w:color w:val="000000" w:themeColor="text1"/>
                <w:sz w:val="18"/>
              </w:rPr>
              <w:t>За да се насърчи по-енергийно ефективна, модерна и кръгова икономика, която създава работни места в един нов сектор.</w:t>
            </w:r>
          </w:p>
        </w:tc>
        <w:tc>
          <w:tcPr>
            <w:tcW w:w="3020" w:type="dxa"/>
            <w:shd w:val="clear" w:color="auto" w:fill="F2F2F2" w:themeFill="background1" w:themeFillShade="F2"/>
          </w:tcPr>
          <w:p w14:paraId="6C3E25AD" w14:textId="77777777" w:rsidR="00046A23" w:rsidRPr="00AC072B" w:rsidRDefault="00046A23" w:rsidP="004C6886">
            <w:pPr>
              <w:jc w:val="center"/>
              <w:rPr>
                <w:b/>
                <w:bCs/>
                <w:color w:val="000000" w:themeColor="text1"/>
                <w:sz w:val="18"/>
              </w:rPr>
            </w:pPr>
            <w:r w:rsidRPr="00AC072B">
              <w:rPr>
                <w:b/>
                <w:color w:val="000000" w:themeColor="text1"/>
                <w:sz w:val="18"/>
              </w:rPr>
              <w:t>За по-устойчиви общности</w:t>
            </w:r>
          </w:p>
          <w:p w14:paraId="27385150" w14:textId="77777777" w:rsidR="00046A23" w:rsidRPr="00AC072B" w:rsidRDefault="00046A23" w:rsidP="004C6886">
            <w:pPr>
              <w:jc w:val="center"/>
              <w:rPr>
                <w:color w:val="000000" w:themeColor="text1"/>
                <w:sz w:val="18"/>
              </w:rPr>
            </w:pPr>
            <w:r w:rsidRPr="00AC072B">
              <w:rPr>
                <w:color w:val="000000" w:themeColor="text1"/>
                <w:sz w:val="18"/>
              </w:rPr>
              <w:t>За да се гарантира енергийна независимост и справедлив преход за преодоляване на енергийната бедност и смекчаване на дългосрочните ефекти от изменението на климата върху местните общности.</w:t>
            </w:r>
          </w:p>
        </w:tc>
      </w:tr>
    </w:tbl>
    <w:p w14:paraId="70798C89" w14:textId="77777777" w:rsidR="00046A23" w:rsidRPr="00AC072B" w:rsidRDefault="00046A23" w:rsidP="00046A23">
      <w:pPr>
        <w:spacing w:after="0"/>
        <w:rPr>
          <w:b/>
          <w:bCs/>
          <w:sz w:val="18"/>
        </w:rPr>
      </w:pPr>
    </w:p>
    <w:p w14:paraId="02116147" w14:textId="77777777" w:rsidR="00046A23" w:rsidRPr="00AC072B" w:rsidRDefault="00046A23" w:rsidP="00046A23">
      <w:pPr>
        <w:pStyle w:val="Heading1"/>
        <w:rPr>
          <w:sz w:val="40"/>
        </w:rPr>
      </w:pPr>
      <w:r w:rsidRPr="00AC072B">
        <w:rPr>
          <w:b w:val="0"/>
          <w:sz w:val="40"/>
        </w:rPr>
        <w:t>Стълб 2</w:t>
      </w:r>
      <w:r w:rsidRPr="00AC072B">
        <w:rPr>
          <w:sz w:val="40"/>
        </w:rPr>
        <w:t xml:space="preserve"> на посланието</w:t>
      </w:r>
    </w:p>
    <w:p w14:paraId="6FCD9DDB" w14:textId="77777777" w:rsidR="00046A23" w:rsidRPr="00AC072B" w:rsidRDefault="00046A23" w:rsidP="00046A23">
      <w:pPr>
        <w:pStyle w:val="Heading2"/>
        <w:rPr>
          <w:sz w:val="22"/>
        </w:rPr>
      </w:pPr>
      <w:r w:rsidRPr="00AC072B">
        <w:rPr>
          <w:sz w:val="22"/>
        </w:rPr>
        <w:t>Какво могат да направят градовете, за да постигнат детокс на отоплението?</w:t>
      </w:r>
    </w:p>
    <w:tbl>
      <w:tblPr>
        <w:tblStyle w:val="TableGrid"/>
        <w:tblW w:w="99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ayout w:type="fixed"/>
        <w:tblCellMar>
          <w:top w:w="85" w:type="dxa"/>
          <w:bottom w:w="85" w:type="dxa"/>
        </w:tblCellMar>
        <w:tblLook w:val="06A0" w:firstRow="1" w:lastRow="0" w:firstColumn="1" w:lastColumn="0" w:noHBand="1" w:noVBand="1"/>
      </w:tblPr>
      <w:tblGrid>
        <w:gridCol w:w="3261"/>
        <w:gridCol w:w="3543"/>
        <w:gridCol w:w="3105"/>
      </w:tblGrid>
      <w:tr w:rsidR="00046A23" w:rsidRPr="00AC072B" w14:paraId="3B7DBB54" w14:textId="77777777" w:rsidTr="004C6886">
        <w:trPr>
          <w:trHeight w:val="300"/>
        </w:trPr>
        <w:tc>
          <w:tcPr>
            <w:tcW w:w="9909" w:type="dxa"/>
            <w:gridSpan w:val="3"/>
            <w:tcBorders>
              <w:top w:val="double" w:sz="4" w:space="0" w:color="FFFFFF" w:themeColor="background1"/>
            </w:tcBorders>
            <w:shd w:val="clear" w:color="auto" w:fill="F2F2F2" w:themeFill="background1" w:themeFillShade="F2"/>
          </w:tcPr>
          <w:p w14:paraId="3E2DDC30" w14:textId="77777777" w:rsidR="00046A23" w:rsidRPr="00AC072B" w:rsidRDefault="00046A23" w:rsidP="004C6886">
            <w:pPr>
              <w:jc w:val="center"/>
              <w:rPr>
                <w:b/>
                <w:bCs/>
                <w:color w:val="000000" w:themeColor="text1"/>
                <w:sz w:val="18"/>
              </w:rPr>
            </w:pPr>
            <w:r w:rsidRPr="00AC072B">
              <w:rPr>
                <w:b/>
                <w:color w:val="000000" w:themeColor="text1"/>
                <w:sz w:val="18"/>
              </w:rPr>
              <w:t>Не е нужно отоплението в градовете да е обвързано с изгаряне на токсични източници.</w:t>
            </w:r>
          </w:p>
          <w:p w14:paraId="0064F0FD" w14:textId="7D9F9854" w:rsidR="00046A23" w:rsidRPr="00AC072B" w:rsidRDefault="00046A23" w:rsidP="004C6886">
            <w:pPr>
              <w:jc w:val="center"/>
              <w:rPr>
                <w:color w:val="000000" w:themeColor="text1"/>
                <w:sz w:val="18"/>
              </w:rPr>
            </w:pPr>
            <w:r w:rsidRPr="00AC072B">
              <w:rPr>
                <w:color w:val="000000" w:themeColor="text1"/>
                <w:sz w:val="18"/>
              </w:rPr>
              <w:t xml:space="preserve">Градовете могат да постигнат широкомащабен детокс на отоплението </w:t>
            </w:r>
            <w:r w:rsidR="00AC072B" w:rsidRPr="00AC072B">
              <w:rPr>
                <w:color w:val="000000" w:themeColor="text1"/>
                <w:sz w:val="18"/>
              </w:rPr>
              <w:t xml:space="preserve">си </w:t>
            </w:r>
            <w:r w:rsidRPr="00AC072B">
              <w:rPr>
                <w:color w:val="000000" w:themeColor="text1"/>
                <w:sz w:val="18"/>
              </w:rPr>
              <w:t xml:space="preserve">чрез масово преминаване към по-чисти, по-модерни и </w:t>
            </w:r>
            <w:r w:rsidR="00AC072B" w:rsidRPr="00AC072B">
              <w:rPr>
                <w:color w:val="000000" w:themeColor="text1"/>
                <w:sz w:val="18"/>
              </w:rPr>
              <w:t>по-</w:t>
            </w:r>
            <w:r w:rsidRPr="00AC072B">
              <w:rPr>
                <w:color w:val="000000" w:themeColor="text1"/>
                <w:sz w:val="18"/>
              </w:rPr>
              <w:t>устойчиви отоплителни системи. Ето как да се случи това в 3 лесни стъпки.</w:t>
            </w:r>
          </w:p>
        </w:tc>
      </w:tr>
      <w:tr w:rsidR="00046A23" w:rsidRPr="00AC072B" w14:paraId="6CF07C99" w14:textId="77777777" w:rsidTr="004C6886">
        <w:trPr>
          <w:trHeight w:val="300"/>
        </w:trPr>
        <w:tc>
          <w:tcPr>
            <w:tcW w:w="3261" w:type="dxa"/>
            <w:tcBorders>
              <w:top w:val="double" w:sz="4" w:space="0" w:color="FFFFFF" w:themeColor="background1"/>
              <w:bottom w:val="double" w:sz="4" w:space="0" w:color="FFFFFF" w:themeColor="background1"/>
              <w:right w:val="double" w:sz="4" w:space="0" w:color="FFFFFF" w:themeColor="background1"/>
            </w:tcBorders>
            <w:shd w:val="clear" w:color="auto" w:fill="F2F2F2" w:themeFill="background1" w:themeFillShade="F2"/>
          </w:tcPr>
          <w:p w14:paraId="61885FCE" w14:textId="77777777" w:rsidR="00046A23" w:rsidRPr="00AC072B" w:rsidRDefault="00046A23" w:rsidP="004C6886">
            <w:pPr>
              <w:numPr>
                <w:ilvl w:val="0"/>
                <w:numId w:val="1"/>
              </w:numPr>
              <w:rPr>
                <w:b/>
                <w:bCs/>
                <w:color w:val="000000" w:themeColor="text1"/>
                <w:sz w:val="18"/>
              </w:rPr>
            </w:pPr>
            <w:r w:rsidRPr="00AC072B">
              <w:rPr>
                <w:b/>
                <w:color w:val="000000" w:themeColor="text1"/>
                <w:sz w:val="18"/>
              </w:rPr>
              <w:t>Опознайте системата за отопление</w:t>
            </w:r>
          </w:p>
        </w:tc>
        <w:tc>
          <w:tcPr>
            <w:tcW w:w="3543"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47D04557" w14:textId="77777777" w:rsidR="00046A23" w:rsidRPr="00AC072B" w:rsidRDefault="00046A23" w:rsidP="004C6886">
            <w:pPr>
              <w:numPr>
                <w:ilvl w:val="0"/>
                <w:numId w:val="1"/>
              </w:numPr>
              <w:rPr>
                <w:b/>
                <w:bCs/>
                <w:color w:val="000000" w:themeColor="text1"/>
                <w:sz w:val="18"/>
              </w:rPr>
            </w:pPr>
            <w:r w:rsidRPr="00AC072B">
              <w:rPr>
                <w:b/>
                <w:color w:val="000000" w:themeColor="text1"/>
                <w:sz w:val="18"/>
              </w:rPr>
              <w:t>Направете детокс на целия град</w:t>
            </w:r>
          </w:p>
        </w:tc>
        <w:tc>
          <w:tcPr>
            <w:tcW w:w="3105" w:type="dxa"/>
            <w:tcBorders>
              <w:top w:val="double" w:sz="4" w:space="0" w:color="FFFFFF" w:themeColor="background1"/>
              <w:left w:val="double" w:sz="4" w:space="0" w:color="FFFFFF" w:themeColor="background1"/>
              <w:bottom w:val="double" w:sz="4" w:space="0" w:color="FFFFFF" w:themeColor="background1"/>
            </w:tcBorders>
            <w:shd w:val="clear" w:color="auto" w:fill="F2F2F2" w:themeFill="background1" w:themeFillShade="F2"/>
          </w:tcPr>
          <w:p w14:paraId="1C00FCD7" w14:textId="77777777" w:rsidR="00046A23" w:rsidRPr="00AC072B" w:rsidRDefault="00046A23" w:rsidP="004C6886">
            <w:pPr>
              <w:numPr>
                <w:ilvl w:val="0"/>
                <w:numId w:val="1"/>
              </w:numPr>
              <w:rPr>
                <w:b/>
                <w:bCs/>
                <w:color w:val="000000" w:themeColor="text1"/>
                <w:sz w:val="18"/>
              </w:rPr>
            </w:pPr>
            <w:r w:rsidRPr="00AC072B">
              <w:rPr>
                <w:b/>
                <w:color w:val="000000" w:themeColor="text1"/>
                <w:sz w:val="18"/>
              </w:rPr>
              <w:t>Преминете към чисти източници на топлина</w:t>
            </w:r>
          </w:p>
        </w:tc>
      </w:tr>
      <w:tr w:rsidR="00046A23" w:rsidRPr="00AC072B" w14:paraId="13917C63" w14:textId="77777777" w:rsidTr="00AC072B">
        <w:trPr>
          <w:trHeight w:val="302"/>
        </w:trPr>
        <w:tc>
          <w:tcPr>
            <w:tcW w:w="3261" w:type="dxa"/>
            <w:tcBorders>
              <w:top w:val="double" w:sz="4" w:space="0" w:color="FFFFFF" w:themeColor="background1"/>
              <w:right w:val="single" w:sz="4" w:space="0" w:color="FFFFFF" w:themeColor="background1"/>
            </w:tcBorders>
            <w:shd w:val="clear" w:color="auto" w:fill="F2F2F2" w:themeFill="background1" w:themeFillShade="F2"/>
          </w:tcPr>
          <w:p w14:paraId="60E8F822" w14:textId="0B7A61C3" w:rsidR="00046A23" w:rsidRPr="00AC072B" w:rsidRDefault="00046A23" w:rsidP="004C6886">
            <w:pPr>
              <w:jc w:val="center"/>
              <w:rPr>
                <w:sz w:val="18"/>
              </w:rPr>
            </w:pPr>
            <w:r w:rsidRPr="00AC072B">
              <w:rPr>
                <w:sz w:val="18"/>
              </w:rPr>
              <w:t xml:space="preserve">Първата стъпка при всеки детокс е задълбочено </w:t>
            </w:r>
            <w:r w:rsidR="00AC072B" w:rsidRPr="00AC072B">
              <w:rPr>
                <w:sz w:val="18"/>
              </w:rPr>
              <w:t>запознаване със</w:t>
            </w:r>
            <w:r w:rsidRPr="00AC072B">
              <w:rPr>
                <w:sz w:val="18"/>
              </w:rPr>
              <w:t xml:space="preserve"> системата – източниците на отопление в града, потребностите от топлинна енергия и потенциалните алтернативи.</w:t>
            </w:r>
          </w:p>
          <w:p w14:paraId="6484289C" w14:textId="77777777" w:rsidR="00046A23" w:rsidRPr="00AC072B" w:rsidRDefault="00046A23" w:rsidP="004C6886">
            <w:pPr>
              <w:jc w:val="center"/>
              <w:rPr>
                <w:sz w:val="18"/>
              </w:rPr>
            </w:pPr>
            <w:r w:rsidRPr="00AC072B">
              <w:rPr>
                <w:sz w:val="18"/>
              </w:rPr>
              <w:t>Посредством цялостно картографиране и планиране можете да идентифицирате възможностите за декарбонизация на източниците на топлина и намаляване на потребностите, както и възможностите за разширение на колективните мрежи за централно отопление или внедряването на такива мрежи.</w:t>
            </w:r>
          </w:p>
        </w:tc>
        <w:tc>
          <w:tcPr>
            <w:tcW w:w="3543" w:type="dxa"/>
            <w:tcBorders>
              <w:top w:val="double" w:sz="4" w:space="0" w:color="FFFFFF" w:themeColor="background1"/>
              <w:left w:val="single" w:sz="4" w:space="0" w:color="FFFFFF" w:themeColor="background1"/>
            </w:tcBorders>
            <w:shd w:val="clear" w:color="auto" w:fill="F2F2F2" w:themeFill="background1" w:themeFillShade="F2"/>
          </w:tcPr>
          <w:p w14:paraId="3D16D6F8" w14:textId="1393197A" w:rsidR="00046A23" w:rsidRPr="00AC072B" w:rsidRDefault="00046A23" w:rsidP="004C6886">
            <w:pPr>
              <w:jc w:val="center"/>
              <w:rPr>
                <w:sz w:val="18"/>
              </w:rPr>
            </w:pPr>
            <w:r w:rsidRPr="00AC072B">
              <w:rPr>
                <w:sz w:val="18"/>
              </w:rPr>
              <w:t xml:space="preserve">За по-мощно въздействие от детокса, </w:t>
            </w:r>
            <w:r w:rsidR="00AC072B" w:rsidRPr="00AC072B">
              <w:rPr>
                <w:sz w:val="18"/>
              </w:rPr>
              <w:t xml:space="preserve">намаляващ </w:t>
            </w:r>
            <w:r w:rsidR="00AC072B">
              <w:rPr>
                <w:sz w:val="18"/>
              </w:rPr>
              <w:t xml:space="preserve">съществено </w:t>
            </w:r>
            <w:r w:rsidRPr="00AC072B">
              <w:rPr>
                <w:sz w:val="18"/>
              </w:rPr>
              <w:t xml:space="preserve">токсините, свързани с отоплението, </w:t>
            </w:r>
            <w:r w:rsidR="00AC072B">
              <w:rPr>
                <w:sz w:val="18"/>
              </w:rPr>
              <w:t xml:space="preserve">помислете </w:t>
            </w:r>
            <w:r w:rsidRPr="00AC072B">
              <w:rPr>
                <w:sz w:val="18"/>
              </w:rPr>
              <w:t xml:space="preserve">за подход, </w:t>
            </w:r>
            <w:r w:rsidR="00AC072B" w:rsidRPr="00AC072B">
              <w:rPr>
                <w:sz w:val="18"/>
              </w:rPr>
              <w:t xml:space="preserve">който </w:t>
            </w:r>
            <w:r w:rsidRPr="00AC072B">
              <w:rPr>
                <w:sz w:val="18"/>
              </w:rPr>
              <w:t>обхваща целия град. Това означава въ</w:t>
            </w:r>
            <w:r w:rsidR="00AC072B" w:rsidRPr="00AC072B">
              <w:rPr>
                <w:sz w:val="18"/>
              </w:rPr>
              <w:t>веждане</w:t>
            </w:r>
            <w:r w:rsidRPr="00AC072B">
              <w:rPr>
                <w:sz w:val="18"/>
              </w:rPr>
              <w:t xml:space="preserve"> на декарбонизирани колективни решения за централно отопление (DHC).</w:t>
            </w:r>
          </w:p>
          <w:p w14:paraId="3041A9F5" w14:textId="26FB6B52" w:rsidR="00046A23" w:rsidRPr="00AC072B" w:rsidRDefault="00046A23" w:rsidP="00AC072B">
            <w:pPr>
              <w:jc w:val="center"/>
              <w:rPr>
                <w:sz w:val="18"/>
              </w:rPr>
            </w:pPr>
            <w:r w:rsidRPr="00AC072B">
              <w:rPr>
                <w:sz w:val="18"/>
              </w:rPr>
              <w:t>Разширяването, развитието и обновяването на DHC в гъстонаселените градски райони е с най-значимо въздействие и е най-</w:t>
            </w:r>
            <w:r w:rsidR="00AC072B">
              <w:rPr>
                <w:sz w:val="18"/>
              </w:rPr>
              <w:t>рентабилният</w:t>
            </w:r>
            <w:r w:rsidRPr="00AC072B">
              <w:rPr>
                <w:sz w:val="18"/>
              </w:rPr>
              <w:t xml:space="preserve"> начин за постигане на широкомащабно потребление на енергия с ниски въглеродни емисии и подобряване на качеството на въздуха, като същевременно гарантира енергийната сигурност.</w:t>
            </w:r>
          </w:p>
        </w:tc>
        <w:tc>
          <w:tcPr>
            <w:tcW w:w="3105" w:type="dxa"/>
            <w:tcBorders>
              <w:top w:val="double" w:sz="4" w:space="0" w:color="FFFFFF" w:themeColor="background1"/>
              <w:left w:val="single" w:sz="4" w:space="0" w:color="FFFFFF" w:themeColor="background1"/>
            </w:tcBorders>
            <w:shd w:val="clear" w:color="auto" w:fill="F2F2F2" w:themeFill="background1" w:themeFillShade="F2"/>
          </w:tcPr>
          <w:p w14:paraId="6221E8E1" w14:textId="03DB3CAC" w:rsidR="00046A23" w:rsidRPr="00AC072B" w:rsidRDefault="00046A23" w:rsidP="004C6886">
            <w:pPr>
              <w:jc w:val="center"/>
              <w:rPr>
                <w:sz w:val="18"/>
              </w:rPr>
            </w:pPr>
            <w:r w:rsidRPr="00AC072B">
              <w:rPr>
                <w:sz w:val="18"/>
              </w:rPr>
              <w:t xml:space="preserve">Подмладете отоплителните системи на града си, като започнете </w:t>
            </w:r>
            <w:r w:rsidR="00AC072B" w:rsidRPr="00AC072B">
              <w:rPr>
                <w:sz w:val="18"/>
              </w:rPr>
              <w:t>д</w:t>
            </w:r>
            <w:r w:rsidRPr="00AC072B">
              <w:rPr>
                <w:sz w:val="18"/>
              </w:rPr>
              <w:t>а захранвате мрежите за централно отопление с чисти и здравословни източници на топлинна енергия, които са най-добре адаптирани за Вашата територия.</w:t>
            </w:r>
          </w:p>
          <w:p w14:paraId="49EFE784" w14:textId="77777777" w:rsidR="00046A23" w:rsidRPr="00AC072B" w:rsidRDefault="00046A23" w:rsidP="004C6886">
            <w:pPr>
              <w:jc w:val="center"/>
              <w:rPr>
                <w:sz w:val="18"/>
              </w:rPr>
            </w:pPr>
            <w:r w:rsidRPr="00AC072B">
              <w:rPr>
                <w:sz w:val="18"/>
              </w:rPr>
              <w:t>Геотермалната и слънчевата енергия и широкомащабните термопомпи, захранвани с възобновяема енергия, са чудесни източници за обновяване на централното отопление на града.</w:t>
            </w:r>
          </w:p>
        </w:tc>
      </w:tr>
    </w:tbl>
    <w:p w14:paraId="534AEC3F" w14:textId="12160284" w:rsidR="005A2121" w:rsidRPr="00AC072B" w:rsidRDefault="005A2121" w:rsidP="005A2121">
      <w:pPr>
        <w:pStyle w:val="Heading2"/>
        <w:rPr>
          <w:sz w:val="22"/>
        </w:rPr>
      </w:pPr>
      <w:r w:rsidRPr="00AC072B">
        <w:rPr>
          <w:sz w:val="22"/>
        </w:rPr>
        <w:lastRenderedPageBreak/>
        <w:t>Какво представлява детоксът на отоплението във Вашия град?</w:t>
      </w:r>
    </w:p>
    <w:tbl>
      <w:tblPr>
        <w:tblStyle w:val="TableGrid"/>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F2F2F2" w:themeFill="background1" w:themeFillShade="F2"/>
        <w:tblCellMar>
          <w:top w:w="227" w:type="dxa"/>
        </w:tblCellMar>
        <w:tblLook w:val="04A0" w:firstRow="1" w:lastRow="0" w:firstColumn="1" w:lastColumn="0" w:noHBand="0" w:noVBand="1"/>
      </w:tblPr>
      <w:tblGrid>
        <w:gridCol w:w="3005"/>
        <w:gridCol w:w="3005"/>
        <w:gridCol w:w="3006"/>
      </w:tblGrid>
      <w:tr w:rsidR="005A2121" w:rsidRPr="00AC072B" w14:paraId="335BD7CB" w14:textId="77777777" w:rsidTr="005A2121">
        <w:tc>
          <w:tcPr>
            <w:tcW w:w="9016" w:type="dxa"/>
            <w:gridSpan w:val="3"/>
            <w:shd w:val="clear" w:color="auto" w:fill="F2F2F2" w:themeFill="background1" w:themeFillShade="F2"/>
          </w:tcPr>
          <w:p w14:paraId="2ACA70F3" w14:textId="6CA8D214" w:rsidR="005A2121" w:rsidRPr="00AC072B" w:rsidRDefault="005A2121" w:rsidP="005A2121">
            <w:pPr>
              <w:jc w:val="center"/>
              <w:rPr>
                <w:b/>
                <w:bCs/>
                <w:sz w:val="18"/>
              </w:rPr>
            </w:pPr>
            <w:r w:rsidRPr="00AC072B">
              <w:rPr>
                <w:b/>
                <w:sz w:val="18"/>
              </w:rPr>
              <w:t>Създайте собствен микс за детокс на отоплението в града</w:t>
            </w:r>
          </w:p>
        </w:tc>
      </w:tr>
      <w:tr w:rsidR="005A2121" w:rsidRPr="00AC072B" w14:paraId="26E0ABB6" w14:textId="77777777" w:rsidTr="005A2121">
        <w:tc>
          <w:tcPr>
            <w:tcW w:w="3005" w:type="dxa"/>
            <w:shd w:val="clear" w:color="auto" w:fill="F2F2F2" w:themeFill="background1" w:themeFillShade="F2"/>
          </w:tcPr>
          <w:p w14:paraId="07F3CBAF" w14:textId="77777777" w:rsidR="005A2121" w:rsidRPr="00AC072B" w:rsidRDefault="005A2121" w:rsidP="005A2121">
            <w:pPr>
              <w:rPr>
                <w:sz w:val="18"/>
              </w:rPr>
            </w:pPr>
            <w:r w:rsidRPr="00AC072B">
              <w:rPr>
                <w:sz w:val="18"/>
              </w:rPr>
              <w:t>Основни решения за здравословно отопление и охлаждане</w:t>
            </w:r>
          </w:p>
          <w:p w14:paraId="7510CFF9" w14:textId="77777777" w:rsidR="005A2121" w:rsidRPr="00AC072B" w:rsidRDefault="005A2121" w:rsidP="005A2121">
            <w:pPr>
              <w:pStyle w:val="ListParagraph"/>
              <w:numPr>
                <w:ilvl w:val="0"/>
                <w:numId w:val="7"/>
              </w:numPr>
              <w:rPr>
                <w:sz w:val="18"/>
              </w:rPr>
            </w:pPr>
            <w:r w:rsidRPr="00AC072B">
              <w:rPr>
                <w:sz w:val="18"/>
              </w:rPr>
              <w:t>Централно отопление</w:t>
            </w:r>
          </w:p>
          <w:p w14:paraId="3EA3130D" w14:textId="77777777" w:rsidR="005A2121" w:rsidRPr="00AC072B" w:rsidRDefault="005A2121" w:rsidP="005A2121">
            <w:pPr>
              <w:pStyle w:val="ListParagraph"/>
              <w:numPr>
                <w:ilvl w:val="0"/>
                <w:numId w:val="7"/>
              </w:numPr>
              <w:rPr>
                <w:sz w:val="18"/>
              </w:rPr>
            </w:pPr>
            <w:r w:rsidRPr="00AC072B">
              <w:rPr>
                <w:sz w:val="18"/>
              </w:rPr>
              <w:t>Централно охлаждане</w:t>
            </w:r>
          </w:p>
          <w:p w14:paraId="65726574" w14:textId="09F685FA" w:rsidR="005A2121" w:rsidRPr="00AC072B" w:rsidRDefault="005A2121" w:rsidP="005A2121">
            <w:pPr>
              <w:pStyle w:val="ListParagraph"/>
              <w:numPr>
                <w:ilvl w:val="0"/>
                <w:numId w:val="7"/>
              </w:numPr>
              <w:rPr>
                <w:sz w:val="18"/>
              </w:rPr>
            </w:pPr>
            <w:r w:rsidRPr="00AC072B">
              <w:rPr>
                <w:sz w:val="18"/>
              </w:rPr>
              <w:t>Термопомпи</w:t>
            </w:r>
          </w:p>
        </w:tc>
        <w:tc>
          <w:tcPr>
            <w:tcW w:w="3005" w:type="dxa"/>
            <w:shd w:val="clear" w:color="auto" w:fill="F2F2F2" w:themeFill="background1" w:themeFillShade="F2"/>
          </w:tcPr>
          <w:p w14:paraId="7DA01504" w14:textId="77777777" w:rsidR="005A2121" w:rsidRPr="00AC072B" w:rsidRDefault="005A2121" w:rsidP="005A2121">
            <w:pPr>
              <w:rPr>
                <w:sz w:val="18"/>
              </w:rPr>
            </w:pPr>
            <w:r w:rsidRPr="00AC072B">
              <w:rPr>
                <w:sz w:val="18"/>
              </w:rPr>
              <w:t>Съставки на здравословното отопление и охлаждане</w:t>
            </w:r>
          </w:p>
          <w:p w14:paraId="1DFA75B4" w14:textId="77777777" w:rsidR="005A2121" w:rsidRPr="00AC072B" w:rsidRDefault="005A2121" w:rsidP="005A2121">
            <w:pPr>
              <w:pStyle w:val="ListParagraph"/>
              <w:numPr>
                <w:ilvl w:val="0"/>
                <w:numId w:val="8"/>
              </w:numPr>
              <w:rPr>
                <w:sz w:val="18"/>
              </w:rPr>
            </w:pPr>
            <w:r w:rsidRPr="00AC072B">
              <w:rPr>
                <w:sz w:val="18"/>
              </w:rPr>
              <w:t>Геотермална енергия</w:t>
            </w:r>
          </w:p>
          <w:p w14:paraId="5F015F28" w14:textId="77777777" w:rsidR="005A2121" w:rsidRPr="00AC072B" w:rsidRDefault="005A2121" w:rsidP="005A2121">
            <w:pPr>
              <w:pStyle w:val="ListParagraph"/>
              <w:numPr>
                <w:ilvl w:val="0"/>
                <w:numId w:val="8"/>
              </w:numPr>
              <w:rPr>
                <w:sz w:val="18"/>
              </w:rPr>
            </w:pPr>
            <w:r w:rsidRPr="00AC072B">
              <w:rPr>
                <w:sz w:val="18"/>
              </w:rPr>
              <w:t>Слънчева топлинна енергия</w:t>
            </w:r>
          </w:p>
          <w:p w14:paraId="4D8376CA" w14:textId="77777777" w:rsidR="005A2121" w:rsidRPr="00AC072B" w:rsidRDefault="005A2121" w:rsidP="005A2121">
            <w:pPr>
              <w:pStyle w:val="ListParagraph"/>
              <w:numPr>
                <w:ilvl w:val="0"/>
                <w:numId w:val="8"/>
              </w:numPr>
              <w:rPr>
                <w:sz w:val="18"/>
              </w:rPr>
            </w:pPr>
            <w:r w:rsidRPr="00AC072B">
              <w:rPr>
                <w:sz w:val="18"/>
              </w:rPr>
              <w:t>Остатъчна топлинна енергия</w:t>
            </w:r>
          </w:p>
          <w:p w14:paraId="07134E01" w14:textId="77777777" w:rsidR="005A2121" w:rsidRPr="00AC072B" w:rsidRDefault="005A2121" w:rsidP="005A2121">
            <w:pPr>
              <w:pStyle w:val="ListParagraph"/>
              <w:numPr>
                <w:ilvl w:val="0"/>
                <w:numId w:val="8"/>
              </w:numPr>
              <w:rPr>
                <w:sz w:val="18"/>
              </w:rPr>
            </w:pPr>
            <w:r w:rsidRPr="00AC072B">
              <w:rPr>
                <w:sz w:val="18"/>
              </w:rPr>
              <w:t>Въздушни източници</w:t>
            </w:r>
          </w:p>
          <w:p w14:paraId="70AB03C1" w14:textId="2458446A" w:rsidR="005A2121" w:rsidRPr="00AC072B" w:rsidRDefault="005A2121" w:rsidP="005A2121">
            <w:pPr>
              <w:pStyle w:val="ListParagraph"/>
              <w:numPr>
                <w:ilvl w:val="0"/>
                <w:numId w:val="8"/>
              </w:numPr>
              <w:rPr>
                <w:sz w:val="18"/>
              </w:rPr>
            </w:pPr>
            <w:r w:rsidRPr="00AC072B">
              <w:rPr>
                <w:sz w:val="18"/>
              </w:rPr>
              <w:t>Водни източници</w:t>
            </w:r>
          </w:p>
        </w:tc>
        <w:tc>
          <w:tcPr>
            <w:tcW w:w="3006" w:type="dxa"/>
            <w:shd w:val="clear" w:color="auto" w:fill="F2F2F2" w:themeFill="background1" w:themeFillShade="F2"/>
          </w:tcPr>
          <w:p w14:paraId="79E07C0B" w14:textId="77777777" w:rsidR="005A2121" w:rsidRPr="00AC072B" w:rsidRDefault="005A2121" w:rsidP="005A2121">
            <w:pPr>
              <w:rPr>
                <w:sz w:val="18"/>
              </w:rPr>
            </w:pPr>
            <w:r w:rsidRPr="00AC072B">
              <w:rPr>
                <w:sz w:val="18"/>
              </w:rPr>
              <w:t>Добавки</w:t>
            </w:r>
          </w:p>
          <w:p w14:paraId="5D1540AA" w14:textId="77777777" w:rsidR="005A2121" w:rsidRPr="00AC072B" w:rsidRDefault="005A2121" w:rsidP="005A2121">
            <w:pPr>
              <w:pStyle w:val="ListParagraph"/>
              <w:numPr>
                <w:ilvl w:val="0"/>
                <w:numId w:val="8"/>
              </w:numPr>
              <w:rPr>
                <w:sz w:val="18"/>
              </w:rPr>
            </w:pPr>
            <w:r w:rsidRPr="00AC072B">
              <w:rPr>
                <w:sz w:val="18"/>
              </w:rPr>
              <w:t>Биомаса</w:t>
            </w:r>
          </w:p>
          <w:p w14:paraId="6BBC038A" w14:textId="24333F6F" w:rsidR="005A2121" w:rsidRPr="00AC072B" w:rsidRDefault="005A2121" w:rsidP="005A2121">
            <w:pPr>
              <w:pStyle w:val="ListParagraph"/>
              <w:numPr>
                <w:ilvl w:val="0"/>
                <w:numId w:val="8"/>
              </w:numPr>
              <w:rPr>
                <w:sz w:val="18"/>
              </w:rPr>
            </w:pPr>
            <w:r w:rsidRPr="00AC072B">
              <w:rPr>
                <w:sz w:val="18"/>
              </w:rPr>
              <w:t>Биогаз</w:t>
            </w:r>
          </w:p>
        </w:tc>
      </w:tr>
    </w:tbl>
    <w:p w14:paraId="54466134" w14:textId="77777777" w:rsidR="00046A23" w:rsidRPr="00AC072B" w:rsidRDefault="00046A23" w:rsidP="00046A23">
      <w:pPr>
        <w:rPr>
          <w:sz w:val="18"/>
          <w:lang w:val="en-US"/>
        </w:rPr>
      </w:pPr>
    </w:p>
    <w:p w14:paraId="2B0BF729" w14:textId="77777777" w:rsidR="00046A23" w:rsidRPr="00AC072B" w:rsidRDefault="00046A23" w:rsidP="00046A23">
      <w:pPr>
        <w:pStyle w:val="Heading1"/>
        <w:rPr>
          <w:sz w:val="42"/>
        </w:rPr>
      </w:pPr>
      <w:r w:rsidRPr="00AC072B">
        <w:rPr>
          <w:b w:val="0"/>
          <w:sz w:val="40"/>
        </w:rPr>
        <w:t>Стълб 3</w:t>
      </w:r>
      <w:r w:rsidRPr="00AC072B">
        <w:rPr>
          <w:sz w:val="40"/>
        </w:rPr>
        <w:t xml:space="preserve"> на посланието</w:t>
      </w:r>
    </w:p>
    <w:p w14:paraId="0515AF9F" w14:textId="77777777" w:rsidR="00046A23" w:rsidRPr="00AC072B" w:rsidRDefault="00046A23" w:rsidP="00046A23">
      <w:pPr>
        <w:pStyle w:val="Heading2"/>
        <w:rPr>
          <w:sz w:val="22"/>
        </w:rPr>
      </w:pPr>
      <w:r w:rsidRPr="00AC072B">
        <w:rPr>
          <w:sz w:val="22"/>
        </w:rPr>
        <w:t>Какво е нужно на градовете, за да постигнат детокс на отоплението?</w:t>
      </w:r>
    </w:p>
    <w:p w14:paraId="7B2C8FED" w14:textId="12FF8809" w:rsidR="0090324F" w:rsidRPr="00AC072B" w:rsidRDefault="0090324F" w:rsidP="0090324F">
      <w:pPr>
        <w:rPr>
          <w:sz w:val="18"/>
        </w:rPr>
      </w:pPr>
      <w:r w:rsidRPr="00AC072B">
        <w:rPr>
          <w:sz w:val="18"/>
        </w:rPr>
        <w:t xml:space="preserve">За съжаление градовете в целия ЕС в момента срещат трудности поради неблагоприятните условия за успешен детокс на отоплението.  Този </w:t>
      </w:r>
      <w:hyperlink r:id="rId14" w:tgtFrame="_blank" w:history="1">
        <w:r w:rsidRPr="00AC072B">
          <w:rPr>
            <w:rStyle w:val="Hyperlink"/>
            <w:sz w:val="18"/>
          </w:rPr>
          <w:t>Инструмент на ЕС за проследяване</w:t>
        </w:r>
      </w:hyperlink>
      <w:r w:rsidRPr="00AC072B">
        <w:rPr>
          <w:sz w:val="18"/>
        </w:rPr>
        <w:t xml:space="preserve"> показва оценката на актуалното състояние на планирането на отоплението и охлаждането на местно равнище във всички държави членки на ЕС и подчертава, че в повечето държави липсва подходяща регулаторна уредба и рамка за подкрепа, чрез която общините да могат да започнат с тази първа и съществена стъпка към детокса – планът за топлоподаване.  </w:t>
      </w:r>
    </w:p>
    <w:p w14:paraId="21AFB5A7" w14:textId="2074D814" w:rsidR="00EA1CAB" w:rsidRPr="00AC072B" w:rsidRDefault="00046A23" w:rsidP="0090324F">
      <w:pPr>
        <w:rPr>
          <w:sz w:val="18"/>
        </w:rPr>
      </w:pPr>
      <w:r w:rsidRPr="00AC072B">
        <w:rPr>
          <w:sz w:val="18"/>
        </w:rPr>
        <w:t xml:space="preserve">За успешен #CitiesHeatDetox </w:t>
      </w:r>
      <w:r w:rsidR="006B1708">
        <w:rPr>
          <w:sz w:val="18"/>
        </w:rPr>
        <w:t xml:space="preserve">е необходимо общините </w:t>
      </w:r>
      <w:r w:rsidRPr="00AC072B">
        <w:rPr>
          <w:sz w:val="18"/>
        </w:rPr>
        <w:t>да разгледат различните елементи на благополучието, за да постигн</w:t>
      </w:r>
      <w:r w:rsidR="006B1708">
        <w:rPr>
          <w:sz w:val="18"/>
        </w:rPr>
        <w:t>ат цялостен и ефективен детокс.</w:t>
      </w:r>
    </w:p>
    <w:tbl>
      <w:tblPr>
        <w:tblStyle w:val="TableGrid"/>
        <w:tblW w:w="0" w:type="auto"/>
        <w:tblBorders>
          <w:top w:val="none" w:sz="0" w:space="0" w:color="auto"/>
          <w:left w:val="none" w:sz="0" w:space="0" w:color="auto"/>
          <w:bottom w:val="none" w:sz="0" w:space="0" w:color="auto"/>
          <w:right w:val="none" w:sz="0" w:space="0" w:color="auto"/>
          <w:insideH w:val="single" w:sz="4" w:space="0" w:color="FFFFFF" w:themeColor="background1"/>
          <w:insideV w:val="single" w:sz="4" w:space="0" w:color="FFFFFF" w:themeColor="background1"/>
        </w:tblBorders>
        <w:shd w:val="clear" w:color="auto" w:fill="F2F2F2" w:themeFill="background1" w:themeFillShade="F2"/>
        <w:tblLook w:val="04A0" w:firstRow="1" w:lastRow="0" w:firstColumn="1" w:lastColumn="0" w:noHBand="0" w:noVBand="1"/>
      </w:tblPr>
      <w:tblGrid>
        <w:gridCol w:w="3005"/>
        <w:gridCol w:w="3005"/>
        <w:gridCol w:w="3170"/>
      </w:tblGrid>
      <w:tr w:rsidR="00EA1CAB" w:rsidRPr="00AC072B" w14:paraId="0605387D" w14:textId="77777777" w:rsidTr="006B1708">
        <w:tc>
          <w:tcPr>
            <w:tcW w:w="3005" w:type="dxa"/>
            <w:shd w:val="clear" w:color="auto" w:fill="F2F2F2" w:themeFill="background1" w:themeFillShade="F2"/>
          </w:tcPr>
          <w:p w14:paraId="4905ED69" w14:textId="77777777" w:rsidR="008C1A99" w:rsidRPr="00AC072B" w:rsidRDefault="008C1A99" w:rsidP="00EA1CAB">
            <w:pPr>
              <w:rPr>
                <w:b/>
                <w:bCs/>
                <w:sz w:val="18"/>
              </w:rPr>
            </w:pPr>
            <w:r w:rsidRPr="00AC072B">
              <w:rPr>
                <w:b/>
                <w:sz w:val="18"/>
              </w:rPr>
              <w:t xml:space="preserve">ДОСТЪП ДО ДАННИ </w:t>
            </w:r>
          </w:p>
          <w:p w14:paraId="78A32C1B" w14:textId="6A17D3AE" w:rsidR="00EA1CAB" w:rsidRPr="00AC072B" w:rsidRDefault="008C1A99" w:rsidP="00EA1CAB">
            <w:pPr>
              <w:rPr>
                <w:b/>
                <w:bCs/>
                <w:sz w:val="18"/>
              </w:rPr>
            </w:pPr>
            <w:r w:rsidRPr="00AC072B">
              <w:rPr>
                <w:b/>
                <w:sz w:val="18"/>
              </w:rPr>
              <w:t>Интелектуално благополучие</w:t>
            </w:r>
          </w:p>
          <w:p w14:paraId="22E9CC6E" w14:textId="4CA0FCC7" w:rsidR="008748DB" w:rsidRPr="00AC072B" w:rsidRDefault="008748DB" w:rsidP="00EA1CAB">
            <w:pPr>
              <w:rPr>
                <w:i/>
                <w:iCs/>
                <w:sz w:val="18"/>
              </w:rPr>
            </w:pPr>
            <w:r w:rsidRPr="00AC072B">
              <w:rPr>
                <w:i/>
                <w:sz w:val="18"/>
              </w:rPr>
              <w:t>Чувство за умствена и творческа ангажираност.</w:t>
            </w:r>
          </w:p>
          <w:p w14:paraId="637FB220" w14:textId="5E1EA0B7" w:rsidR="00EA1CAB" w:rsidRPr="00AC072B" w:rsidRDefault="008748DB" w:rsidP="00EA1CAB">
            <w:pPr>
              <w:rPr>
                <w:sz w:val="18"/>
              </w:rPr>
            </w:pPr>
            <w:r w:rsidRPr="00AC072B">
              <w:rPr>
                <w:rFonts w:ascii="Source Sans Pro" w:hAnsi="Source Sans Pro"/>
                <w:color w:val="000000" w:themeColor="text1"/>
                <w:sz w:val="18"/>
              </w:rPr>
              <w:t>Достъп до база данни на съществуващия сграден фонд за целите на планирането и зонирането на топлоподаването в общините</w:t>
            </w:r>
          </w:p>
        </w:tc>
        <w:tc>
          <w:tcPr>
            <w:tcW w:w="3005" w:type="dxa"/>
            <w:shd w:val="clear" w:color="auto" w:fill="F2F2F2" w:themeFill="background1" w:themeFillShade="F2"/>
          </w:tcPr>
          <w:p w14:paraId="7A5B4DE7" w14:textId="77777777" w:rsidR="008C1A99" w:rsidRPr="00AC072B" w:rsidRDefault="008C1A99" w:rsidP="00EA1CAB">
            <w:pPr>
              <w:rPr>
                <w:b/>
                <w:bCs/>
                <w:sz w:val="18"/>
              </w:rPr>
            </w:pPr>
            <w:r w:rsidRPr="00AC072B">
              <w:rPr>
                <w:b/>
                <w:sz w:val="18"/>
              </w:rPr>
              <w:t xml:space="preserve">ОБЩИНСКИ РЕСУРСИ </w:t>
            </w:r>
          </w:p>
          <w:p w14:paraId="797285EC" w14:textId="3E09500B" w:rsidR="00EA1CAB" w:rsidRPr="00AC072B" w:rsidRDefault="008C1A99" w:rsidP="00EA1CAB">
            <w:pPr>
              <w:rPr>
                <w:b/>
                <w:bCs/>
                <w:sz w:val="18"/>
              </w:rPr>
            </w:pPr>
            <w:r w:rsidRPr="00AC072B">
              <w:rPr>
                <w:b/>
                <w:sz w:val="18"/>
              </w:rPr>
              <w:t>Физическо благополучие</w:t>
            </w:r>
          </w:p>
          <w:p w14:paraId="3EE44447" w14:textId="513F2091" w:rsidR="008748DB" w:rsidRPr="00AC072B" w:rsidRDefault="0090324F" w:rsidP="00EA1CAB">
            <w:pPr>
              <w:rPr>
                <w:i/>
                <w:iCs/>
                <w:sz w:val="18"/>
              </w:rPr>
            </w:pPr>
            <w:r w:rsidRPr="00AC072B">
              <w:rPr>
                <w:i/>
                <w:sz w:val="18"/>
              </w:rPr>
              <w:t>Поддържане на здравословно и балансирано качество на живота.</w:t>
            </w:r>
          </w:p>
          <w:p w14:paraId="73896F38" w14:textId="30AE90F3" w:rsidR="00EA1CAB" w:rsidRPr="00AC072B" w:rsidRDefault="00EA1CAB" w:rsidP="00EA1CAB">
            <w:pPr>
              <w:rPr>
                <w:sz w:val="18"/>
              </w:rPr>
            </w:pPr>
            <w:r w:rsidRPr="00AC072B">
              <w:rPr>
                <w:sz w:val="18"/>
              </w:rPr>
              <w:t xml:space="preserve">Изграждане на местен капацитет и кадри и дългосрочна финансова подкрепа за планиране на топлоподаването, обучение на нови специалисти и разработване на нова инфраструктура, консултации относно енергията </w:t>
            </w:r>
            <w:r w:rsidR="006B1708">
              <w:rPr>
                <w:sz w:val="18"/>
              </w:rPr>
              <w:t>з</w:t>
            </w:r>
            <w:r w:rsidRPr="00AC072B">
              <w:rPr>
                <w:sz w:val="18"/>
              </w:rPr>
              <w:t>а гражданите, правоприлагане и др.</w:t>
            </w:r>
          </w:p>
          <w:p w14:paraId="10C729D5" w14:textId="77777777" w:rsidR="00EA1CAB" w:rsidRPr="00AC072B" w:rsidRDefault="00EA1CAB" w:rsidP="00EA1CAB">
            <w:pPr>
              <w:rPr>
                <w:sz w:val="18"/>
              </w:rPr>
            </w:pPr>
            <w:r w:rsidRPr="00AC072B">
              <w:rPr>
                <w:sz w:val="18"/>
              </w:rPr>
              <w:t>#LocalStaff4Climate</w:t>
            </w:r>
          </w:p>
          <w:p w14:paraId="34E15BAE" w14:textId="3FEA0C8B" w:rsidR="008C1A99" w:rsidRPr="00AC072B" w:rsidRDefault="008C1A99" w:rsidP="00EA1CAB">
            <w:pPr>
              <w:rPr>
                <w:sz w:val="18"/>
              </w:rPr>
            </w:pPr>
            <w:r w:rsidRPr="00AC072B">
              <w:rPr>
                <w:sz w:val="18"/>
              </w:rPr>
              <w:t>#LocalStaff4Heat</w:t>
            </w:r>
          </w:p>
        </w:tc>
        <w:tc>
          <w:tcPr>
            <w:tcW w:w="3170" w:type="dxa"/>
            <w:shd w:val="clear" w:color="auto" w:fill="F2F2F2" w:themeFill="background1" w:themeFillShade="F2"/>
          </w:tcPr>
          <w:p w14:paraId="66C9FB0E" w14:textId="77777777" w:rsidR="008C1A99" w:rsidRPr="00AC072B" w:rsidRDefault="008C1A99" w:rsidP="00EA1CAB">
            <w:pPr>
              <w:rPr>
                <w:b/>
                <w:bCs/>
                <w:sz w:val="18"/>
              </w:rPr>
            </w:pPr>
            <w:r w:rsidRPr="00AC072B">
              <w:rPr>
                <w:b/>
                <w:sz w:val="18"/>
              </w:rPr>
              <w:t>БЛАГОПРИЯТНА ПРАВНА РАМКА</w:t>
            </w:r>
          </w:p>
          <w:p w14:paraId="4BBA5E36" w14:textId="6C8ED83D" w:rsidR="00EA1CAB" w:rsidRPr="00AC072B" w:rsidRDefault="008C1A99" w:rsidP="00EA1CAB">
            <w:pPr>
              <w:rPr>
                <w:b/>
                <w:bCs/>
                <w:sz w:val="18"/>
              </w:rPr>
            </w:pPr>
            <w:r w:rsidRPr="00AC072B">
              <w:rPr>
                <w:b/>
                <w:sz w:val="18"/>
              </w:rPr>
              <w:t>Екологично благополучие</w:t>
            </w:r>
          </w:p>
          <w:p w14:paraId="3BB589F5" w14:textId="13A0E34E" w:rsidR="008748DB" w:rsidRPr="00AC072B" w:rsidRDefault="008748DB" w:rsidP="00EA1CAB">
            <w:pPr>
              <w:rPr>
                <w:i/>
                <w:iCs/>
                <w:sz w:val="18"/>
              </w:rPr>
            </w:pPr>
            <w:r w:rsidRPr="00AC072B">
              <w:rPr>
                <w:i/>
                <w:sz w:val="18"/>
              </w:rPr>
              <w:t xml:space="preserve">Пребиваване в безопасна и комфортна околна среда и общност. </w:t>
            </w:r>
          </w:p>
          <w:p w14:paraId="47BC69C6" w14:textId="33FB7B8A" w:rsidR="00EA1CAB" w:rsidRPr="00AC072B" w:rsidRDefault="00EA1CAB" w:rsidP="00EA1CAB">
            <w:pPr>
              <w:rPr>
                <w:sz w:val="18"/>
              </w:rPr>
            </w:pPr>
            <w:r w:rsidRPr="00AC072B">
              <w:rPr>
                <w:sz w:val="18"/>
              </w:rPr>
              <w:t>Правни възможности за налагане на енергийно зониране и планиране на топлоподаването като задължение за свързване към централното отопление</w:t>
            </w:r>
          </w:p>
          <w:p w14:paraId="2232B017" w14:textId="1D4F4E15" w:rsidR="00EA1CAB" w:rsidRPr="00AC072B" w:rsidRDefault="00EA1CAB" w:rsidP="00EA1CAB">
            <w:pPr>
              <w:rPr>
                <w:sz w:val="18"/>
              </w:rPr>
            </w:pPr>
            <w:r w:rsidRPr="00AC072B">
              <w:rPr>
                <w:sz w:val="18"/>
              </w:rPr>
              <w:t>Ограничение или забрана на котлите на изкопаеми горива, подкрепящо законодателство за намаляване на потреблението на газ</w:t>
            </w:r>
          </w:p>
          <w:p w14:paraId="0D9A300F" w14:textId="77777777" w:rsidR="00EA1CAB" w:rsidRPr="00AC072B" w:rsidRDefault="00EA1CAB" w:rsidP="00EA1CAB">
            <w:pPr>
              <w:rPr>
                <w:sz w:val="18"/>
              </w:rPr>
            </w:pPr>
            <w:r w:rsidRPr="00AC072B">
              <w:rPr>
                <w:sz w:val="18"/>
              </w:rPr>
              <w:t>Премахване на задълженията за свързване на сградите към мрежите за газоснабдяване</w:t>
            </w:r>
          </w:p>
          <w:p w14:paraId="4486E4D2" w14:textId="49B6B70D" w:rsidR="00EA1CAB" w:rsidRPr="00AC072B" w:rsidRDefault="00EA1CAB" w:rsidP="0090324F">
            <w:pPr>
              <w:rPr>
                <w:sz w:val="18"/>
              </w:rPr>
            </w:pPr>
            <w:r w:rsidRPr="00AC072B">
              <w:rPr>
                <w:sz w:val="18"/>
              </w:rPr>
              <w:t xml:space="preserve">Премахване на правните пречки за оползотворяване на потенциалните </w:t>
            </w:r>
            <w:r w:rsidRPr="00AC072B">
              <w:rPr>
                <w:sz w:val="18"/>
              </w:rPr>
              <w:lastRenderedPageBreak/>
              <w:t>местни източници на топлинна енергия</w:t>
            </w:r>
          </w:p>
        </w:tc>
      </w:tr>
      <w:tr w:rsidR="00EA1CAB" w:rsidRPr="00AC072B" w14:paraId="616DD41E" w14:textId="77777777" w:rsidTr="006B1708">
        <w:tc>
          <w:tcPr>
            <w:tcW w:w="3005" w:type="dxa"/>
            <w:shd w:val="clear" w:color="auto" w:fill="F2F2F2" w:themeFill="background1" w:themeFillShade="F2"/>
          </w:tcPr>
          <w:p w14:paraId="0D64842F" w14:textId="77777777" w:rsidR="008C1A99" w:rsidRPr="00AC072B" w:rsidRDefault="008C1A99" w:rsidP="008748DB">
            <w:pPr>
              <w:rPr>
                <w:b/>
                <w:bCs/>
                <w:sz w:val="18"/>
              </w:rPr>
            </w:pPr>
            <w:r w:rsidRPr="00AC072B">
              <w:rPr>
                <w:b/>
                <w:sz w:val="18"/>
              </w:rPr>
              <w:lastRenderedPageBreak/>
              <w:t xml:space="preserve">ТЕХНОЛОГИЧНА ЯСНОТА </w:t>
            </w:r>
          </w:p>
          <w:p w14:paraId="485F492E" w14:textId="04FEBAC6" w:rsidR="008748DB" w:rsidRPr="00AC072B" w:rsidRDefault="008C1A99" w:rsidP="008748DB">
            <w:pPr>
              <w:rPr>
                <w:b/>
                <w:bCs/>
                <w:sz w:val="18"/>
              </w:rPr>
            </w:pPr>
            <w:r w:rsidRPr="00AC072B">
              <w:rPr>
                <w:b/>
                <w:sz w:val="18"/>
              </w:rPr>
              <w:t xml:space="preserve">Духовно благополучие </w:t>
            </w:r>
          </w:p>
          <w:p w14:paraId="591360CC" w14:textId="1F7C8C59" w:rsidR="008748DB" w:rsidRPr="00AC072B" w:rsidRDefault="008748DB" w:rsidP="008748DB">
            <w:pPr>
              <w:rPr>
                <w:b/>
                <w:bCs/>
                <w:sz w:val="18"/>
              </w:rPr>
            </w:pPr>
            <w:r w:rsidRPr="00AC072B">
              <w:rPr>
                <w:i/>
                <w:sz w:val="18"/>
              </w:rPr>
              <w:t>Наличие на цел в живота и чувство на самосъзнание.</w:t>
            </w:r>
          </w:p>
          <w:p w14:paraId="72E95A49" w14:textId="77777777" w:rsidR="00EA1CAB" w:rsidRPr="00AC072B" w:rsidRDefault="00EA1CAB" w:rsidP="00EA1CAB">
            <w:pPr>
              <w:rPr>
                <w:sz w:val="18"/>
              </w:rPr>
            </w:pPr>
            <w:r w:rsidRPr="00AC072B">
              <w:rPr>
                <w:sz w:val="18"/>
              </w:rPr>
              <w:t>Яснота по отношение на отоплителните системи, сроковете и диференцирането на субсидиите с цел постигане на инвестиционна сигурност за собствениците на бизнеси, комуналните услуги и др.</w:t>
            </w:r>
          </w:p>
          <w:p w14:paraId="1154D1FA" w14:textId="77777777" w:rsidR="00EA1CAB" w:rsidRPr="00AC072B" w:rsidRDefault="00EA1CAB" w:rsidP="00EA1CAB">
            <w:pPr>
              <w:rPr>
                <w:sz w:val="18"/>
                <w:lang w:val="en-US"/>
              </w:rPr>
            </w:pPr>
          </w:p>
        </w:tc>
        <w:tc>
          <w:tcPr>
            <w:tcW w:w="3005" w:type="dxa"/>
            <w:shd w:val="clear" w:color="auto" w:fill="F2F2F2" w:themeFill="background1" w:themeFillShade="F2"/>
          </w:tcPr>
          <w:p w14:paraId="7C6E9787" w14:textId="77777777" w:rsidR="008C1A99" w:rsidRPr="00AC072B" w:rsidRDefault="008C1A99" w:rsidP="00EA1CAB">
            <w:pPr>
              <w:rPr>
                <w:b/>
                <w:bCs/>
                <w:sz w:val="18"/>
              </w:rPr>
            </w:pPr>
            <w:r w:rsidRPr="00AC072B">
              <w:rPr>
                <w:b/>
                <w:sz w:val="18"/>
              </w:rPr>
              <w:t xml:space="preserve">СТИМУЛИ И СУБСИДИИ </w:t>
            </w:r>
          </w:p>
          <w:p w14:paraId="427D77B9" w14:textId="7A005E11" w:rsidR="00EA1CAB" w:rsidRPr="00AC072B" w:rsidRDefault="008C1A99" w:rsidP="00EA1CAB">
            <w:pPr>
              <w:rPr>
                <w:b/>
                <w:bCs/>
                <w:sz w:val="18"/>
              </w:rPr>
            </w:pPr>
            <w:r w:rsidRPr="00AC072B">
              <w:rPr>
                <w:b/>
                <w:sz w:val="18"/>
              </w:rPr>
              <w:t>Финансово благополучие</w:t>
            </w:r>
          </w:p>
          <w:p w14:paraId="3E403FD1" w14:textId="17830296" w:rsidR="008748DB" w:rsidRPr="00AC072B" w:rsidRDefault="008748DB" w:rsidP="008748DB">
            <w:pPr>
              <w:rPr>
                <w:i/>
                <w:iCs/>
                <w:sz w:val="18"/>
              </w:rPr>
            </w:pPr>
            <w:r w:rsidRPr="00AC072B">
              <w:rPr>
                <w:i/>
                <w:sz w:val="18"/>
              </w:rPr>
              <w:t>Финансова стабилност и предвидимост.</w:t>
            </w:r>
          </w:p>
          <w:p w14:paraId="5CD8BE5F" w14:textId="77777777" w:rsidR="00EA1CAB" w:rsidRPr="00AC072B" w:rsidRDefault="00EA1CAB" w:rsidP="00EA1CAB">
            <w:pPr>
              <w:rPr>
                <w:sz w:val="18"/>
              </w:rPr>
            </w:pPr>
            <w:r w:rsidRPr="00AC072B">
              <w:rPr>
                <w:sz w:val="18"/>
              </w:rPr>
              <w:t>Икономически стимули: цени, данъци и субсидии за намаляване на инвестиционните разходи</w:t>
            </w:r>
          </w:p>
          <w:p w14:paraId="037F6E42" w14:textId="2F81C653" w:rsidR="00473389" w:rsidRPr="00AC072B" w:rsidRDefault="00473389" w:rsidP="00473389">
            <w:pPr>
              <w:rPr>
                <w:sz w:val="18"/>
              </w:rPr>
            </w:pPr>
            <w:r w:rsidRPr="00AC072B">
              <w:rPr>
                <w:sz w:val="18"/>
              </w:rPr>
              <w:t>Стимули и финансова подкрепа за оползотворяване на потенциалните местни източници на топлинна енергия </w:t>
            </w:r>
          </w:p>
          <w:p w14:paraId="7E0830FE" w14:textId="28C1CDAE" w:rsidR="00EA1CAB" w:rsidRPr="00AC072B" w:rsidRDefault="00473389" w:rsidP="006B1708">
            <w:pPr>
              <w:rPr>
                <w:sz w:val="18"/>
              </w:rPr>
            </w:pPr>
            <w:r w:rsidRPr="00AC072B">
              <w:rPr>
                <w:sz w:val="18"/>
              </w:rPr>
              <w:t xml:space="preserve">Насърчаване на обмена </w:t>
            </w:r>
            <w:r w:rsidR="006B1708">
              <w:rPr>
                <w:sz w:val="18"/>
              </w:rPr>
              <w:t>в</w:t>
            </w:r>
            <w:r w:rsidRPr="00AC072B">
              <w:rPr>
                <w:sz w:val="18"/>
              </w:rPr>
              <w:t xml:space="preserve"> отоплителната система в съчетание с обновяване</w:t>
            </w:r>
          </w:p>
        </w:tc>
        <w:tc>
          <w:tcPr>
            <w:tcW w:w="3170" w:type="dxa"/>
            <w:shd w:val="clear" w:color="auto" w:fill="F2F2F2" w:themeFill="background1" w:themeFillShade="F2"/>
          </w:tcPr>
          <w:p w14:paraId="2CFAF64C" w14:textId="77777777" w:rsidR="008C1A99" w:rsidRPr="00AC072B" w:rsidRDefault="008C1A99" w:rsidP="00EA1CAB">
            <w:pPr>
              <w:rPr>
                <w:b/>
                <w:bCs/>
                <w:sz w:val="18"/>
              </w:rPr>
            </w:pPr>
            <w:r w:rsidRPr="00AC072B">
              <w:rPr>
                <w:b/>
                <w:sz w:val="18"/>
              </w:rPr>
              <w:t xml:space="preserve">ПРАВНА СРЕДА НА СЪТРУДНИЧЕСТВО </w:t>
            </w:r>
          </w:p>
          <w:p w14:paraId="1F70F7B6" w14:textId="12B4E8BE" w:rsidR="00EA1CAB" w:rsidRPr="00AC072B" w:rsidRDefault="008C1A99" w:rsidP="00EA1CAB">
            <w:pPr>
              <w:rPr>
                <w:b/>
                <w:bCs/>
                <w:sz w:val="18"/>
              </w:rPr>
            </w:pPr>
            <w:r w:rsidRPr="00AC072B">
              <w:rPr>
                <w:b/>
                <w:sz w:val="18"/>
              </w:rPr>
              <w:t>Социално благополучие</w:t>
            </w:r>
          </w:p>
          <w:p w14:paraId="54C4808E" w14:textId="1D647106" w:rsidR="008748DB" w:rsidRPr="00AC072B" w:rsidRDefault="008748DB" w:rsidP="008748DB">
            <w:pPr>
              <w:rPr>
                <w:i/>
                <w:iCs/>
                <w:sz w:val="18"/>
              </w:rPr>
            </w:pPr>
            <w:r w:rsidRPr="00AC072B">
              <w:rPr>
                <w:i/>
                <w:sz w:val="18"/>
              </w:rPr>
              <w:t>Чувство на свързаност и насърчаване на смислените взаимоотношения.</w:t>
            </w:r>
          </w:p>
          <w:p w14:paraId="24FE4C07" w14:textId="634D3C79" w:rsidR="00EA1CAB" w:rsidRPr="00AC072B" w:rsidRDefault="00EA1CAB" w:rsidP="00EA1CAB">
            <w:pPr>
              <w:rPr>
                <w:sz w:val="18"/>
              </w:rPr>
            </w:pPr>
            <w:r w:rsidRPr="00AC072B">
              <w:rPr>
                <w:sz w:val="18"/>
              </w:rPr>
              <w:t>Стимули и ясни ползи за гражданите при свързване към централното отопление, когато е налично такова, и участие в прехода, свързан с отоплението</w:t>
            </w:r>
          </w:p>
          <w:p w14:paraId="1B4C83ED" w14:textId="66DAB203" w:rsidR="00EA1CAB" w:rsidRPr="00AC072B" w:rsidRDefault="00EA1CAB" w:rsidP="008748DB">
            <w:pPr>
              <w:rPr>
                <w:sz w:val="18"/>
              </w:rPr>
            </w:pPr>
            <w:r w:rsidRPr="00AC072B">
              <w:rPr>
                <w:sz w:val="18"/>
              </w:rPr>
              <w:t>Привличане на дружества за енергийни услуги – от разработване на консултативни бюра до ангажиране на енергийните дружества, които са общинска собственост</w:t>
            </w:r>
          </w:p>
        </w:tc>
      </w:tr>
    </w:tbl>
    <w:p w14:paraId="2BBAC60C" w14:textId="77777777" w:rsidR="00EA1CAB" w:rsidRPr="00AC072B" w:rsidRDefault="00EA1CAB" w:rsidP="00EA1CAB">
      <w:pPr>
        <w:rPr>
          <w:sz w:val="18"/>
        </w:rPr>
      </w:pPr>
    </w:p>
    <w:p w14:paraId="3B7A0271" w14:textId="77777777" w:rsidR="00046A23" w:rsidRPr="00AC072B" w:rsidRDefault="00046A23" w:rsidP="00046A23">
      <w:pPr>
        <w:pStyle w:val="Heading1"/>
        <w:rPr>
          <w:sz w:val="42"/>
        </w:rPr>
      </w:pPr>
      <w:r w:rsidRPr="00AC072B">
        <w:rPr>
          <w:sz w:val="42"/>
        </w:rPr>
        <w:t>Призиви за действия</w:t>
      </w:r>
    </w:p>
    <w:tbl>
      <w:tblPr>
        <w:tblStyle w:val="TableGrid"/>
        <w:tblW w:w="9060" w:type="dxa"/>
        <w:jc w:val="center"/>
        <w:shd w:val="clear" w:color="auto" w:fill="F2F2F2" w:themeFill="background1" w:themeFillShade="F2"/>
        <w:tblLayout w:type="fixed"/>
        <w:tblCellMar>
          <w:top w:w="113" w:type="dxa"/>
          <w:bottom w:w="113" w:type="dxa"/>
        </w:tblCellMar>
        <w:tblLook w:val="06A0" w:firstRow="1" w:lastRow="0" w:firstColumn="1" w:lastColumn="0" w:noHBand="1" w:noVBand="1"/>
      </w:tblPr>
      <w:tblGrid>
        <w:gridCol w:w="4530"/>
        <w:gridCol w:w="4530"/>
      </w:tblGrid>
      <w:tr w:rsidR="00046A23" w:rsidRPr="00AC072B" w14:paraId="61118D69" w14:textId="77777777" w:rsidTr="004C6886">
        <w:trPr>
          <w:trHeight w:val="300"/>
          <w:jc w:val="center"/>
        </w:trPr>
        <w:tc>
          <w:tcPr>
            <w:tcW w:w="9060" w:type="dxa"/>
            <w:gridSpan w:val="2"/>
            <w:tcBorders>
              <w:top w:val="double" w:sz="4" w:space="0" w:color="FFFFFF"/>
              <w:left w:val="double" w:sz="4" w:space="0" w:color="FFFFFF"/>
              <w:right w:val="double" w:sz="4" w:space="0" w:color="FFFFFF"/>
            </w:tcBorders>
            <w:shd w:val="clear" w:color="auto" w:fill="F2F2F2" w:themeFill="background1" w:themeFillShade="F2"/>
          </w:tcPr>
          <w:p w14:paraId="52BC8F8D" w14:textId="71330716" w:rsidR="00046A23" w:rsidRPr="00AC072B" w:rsidRDefault="006B1708" w:rsidP="004C6886">
            <w:pPr>
              <w:jc w:val="center"/>
              <w:rPr>
                <w:sz w:val="18"/>
              </w:rPr>
            </w:pPr>
            <w:r>
              <w:rPr>
                <w:sz w:val="18"/>
              </w:rPr>
              <w:t xml:space="preserve">Нека го кажем </w:t>
            </w:r>
            <w:r w:rsidR="00046A23" w:rsidRPr="00AC072B">
              <w:rPr>
                <w:sz w:val="18"/>
              </w:rPr>
              <w:t>силно и ясно: здравословното отопление в градовете означава здравословно бъдеще за Европа!</w:t>
            </w:r>
          </w:p>
          <w:p w14:paraId="2A7A9CDA" w14:textId="77777777" w:rsidR="00046A23" w:rsidRPr="00AC072B" w:rsidRDefault="00046A23" w:rsidP="004C6886">
            <w:pPr>
              <w:jc w:val="center"/>
              <w:rPr>
                <w:b/>
                <w:bCs/>
                <w:sz w:val="18"/>
              </w:rPr>
            </w:pPr>
            <w:r w:rsidRPr="00AC072B">
              <w:rPr>
                <w:b/>
                <w:sz w:val="18"/>
              </w:rPr>
              <w:t>Абонирайте се за кампанията.</w:t>
            </w:r>
          </w:p>
          <w:p w14:paraId="68684527" w14:textId="4FF3C49B" w:rsidR="00974AED" w:rsidRPr="00AC072B" w:rsidRDefault="00974AED" w:rsidP="004C6886">
            <w:pPr>
              <w:jc w:val="center"/>
              <w:rPr>
                <w:color w:val="0059AA"/>
                <w:sz w:val="18"/>
              </w:rPr>
            </w:pPr>
            <w:r w:rsidRPr="00AC072B">
              <w:rPr>
                <w:color w:val="0059AA"/>
                <w:sz w:val="18"/>
              </w:rPr>
              <w:t>Получавайте актуална информация за кампанията и възможности да се включите в нея.</w:t>
            </w:r>
          </w:p>
          <w:p w14:paraId="26DC00A5" w14:textId="5637A52D" w:rsidR="00974AED" w:rsidRPr="00AC072B" w:rsidRDefault="00B467A5" w:rsidP="004C6886">
            <w:pPr>
              <w:jc w:val="center"/>
              <w:rPr>
                <w:sz w:val="18"/>
              </w:rPr>
            </w:pPr>
            <w:hyperlink r:id="rId15" w:history="1">
              <w:r w:rsidR="00CC598D" w:rsidRPr="00AC072B">
                <w:rPr>
                  <w:rStyle w:val="Hyperlink"/>
                  <w:color w:val="0059AA"/>
                  <w:sz w:val="18"/>
                </w:rPr>
                <w:t>Връзка към страницата на кампанията.</w:t>
              </w:r>
            </w:hyperlink>
          </w:p>
        </w:tc>
      </w:tr>
      <w:tr w:rsidR="00046A23" w:rsidRPr="00AC072B" w14:paraId="53246E1D" w14:textId="77777777" w:rsidTr="004C6886">
        <w:trPr>
          <w:trHeight w:val="300"/>
          <w:jc w:val="center"/>
        </w:trPr>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796ADC51" w14:textId="77777777" w:rsidR="00046A23" w:rsidRPr="00AC072B" w:rsidRDefault="00046A23" w:rsidP="004C6886">
            <w:pPr>
              <w:jc w:val="center"/>
              <w:rPr>
                <w:sz w:val="18"/>
              </w:rPr>
            </w:pPr>
            <w:r w:rsidRPr="00AC072B">
              <w:rPr>
                <w:sz w:val="18"/>
              </w:rPr>
              <w:t>Имате желание, но срещате трудности в детокса на отоплението във Вашия град?</w:t>
            </w:r>
          </w:p>
          <w:p w14:paraId="3F237B7E" w14:textId="77777777" w:rsidR="00046A23" w:rsidRPr="00AC072B" w:rsidRDefault="00046A23" w:rsidP="004C6886">
            <w:pPr>
              <w:jc w:val="center"/>
              <w:rPr>
                <w:b/>
                <w:bCs/>
                <w:sz w:val="18"/>
              </w:rPr>
            </w:pPr>
            <w:r w:rsidRPr="00AC072B">
              <w:rPr>
                <w:b/>
                <w:sz w:val="18"/>
              </w:rPr>
              <w:t>Тук може да получите вдъхновение.</w:t>
            </w:r>
          </w:p>
          <w:p w14:paraId="13931434" w14:textId="789F6666" w:rsidR="00974AED" w:rsidRPr="00AC072B" w:rsidRDefault="00974AED" w:rsidP="007B2D00">
            <w:pPr>
              <w:jc w:val="center"/>
              <w:rPr>
                <w:color w:val="0059AA"/>
                <w:sz w:val="18"/>
              </w:rPr>
            </w:pPr>
            <w:r w:rsidRPr="00AC072B">
              <w:rPr>
                <w:color w:val="0059AA"/>
                <w:sz w:val="18"/>
              </w:rPr>
              <w:t xml:space="preserve">На нашата карта за детокс на отоплението. </w:t>
            </w:r>
          </w:p>
        </w:tc>
        <w:tc>
          <w:tcPr>
            <w:tcW w:w="4530" w:type="dxa"/>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0C7ABD46" w14:textId="77777777" w:rsidR="00046A23" w:rsidRPr="00AC072B" w:rsidRDefault="00046A23" w:rsidP="004C6886">
            <w:pPr>
              <w:jc w:val="center"/>
              <w:rPr>
                <w:sz w:val="18"/>
              </w:rPr>
            </w:pPr>
            <w:r w:rsidRPr="00AC072B">
              <w:rPr>
                <w:sz w:val="18"/>
              </w:rPr>
              <w:t>Вече прилагате детокс на отоплението във Вашия град?</w:t>
            </w:r>
          </w:p>
          <w:p w14:paraId="60AB56B9" w14:textId="77777777" w:rsidR="00046A23" w:rsidRPr="00AC072B" w:rsidRDefault="00046A23" w:rsidP="004C6886">
            <w:pPr>
              <w:jc w:val="center"/>
              <w:rPr>
                <w:b/>
                <w:bCs/>
                <w:sz w:val="18"/>
              </w:rPr>
            </w:pPr>
            <w:r w:rsidRPr="00AC072B">
              <w:rPr>
                <w:b/>
                <w:sz w:val="18"/>
              </w:rPr>
              <w:t>Можете да представите своя микс за детокс.</w:t>
            </w:r>
          </w:p>
          <w:p w14:paraId="5BBBEA9D" w14:textId="771188D2" w:rsidR="00974AED" w:rsidRPr="00AC072B" w:rsidRDefault="00974AED" w:rsidP="007B2D00">
            <w:pPr>
              <w:jc w:val="center"/>
              <w:rPr>
                <w:color w:val="0059AA"/>
                <w:sz w:val="18"/>
              </w:rPr>
            </w:pPr>
            <w:r w:rsidRPr="00AC072B">
              <w:rPr>
                <w:color w:val="0059AA"/>
                <w:sz w:val="18"/>
              </w:rPr>
              <w:t xml:space="preserve">Използване на пакета за комуникация относно детокса (Detox Comms Package). </w:t>
            </w:r>
          </w:p>
        </w:tc>
      </w:tr>
      <w:tr w:rsidR="00046A23" w:rsidRPr="00AC072B" w14:paraId="50792864" w14:textId="77777777" w:rsidTr="004C6886">
        <w:trPr>
          <w:trHeight w:val="300"/>
          <w:jc w:val="center"/>
        </w:trPr>
        <w:tc>
          <w:tcPr>
            <w:tcW w:w="9060" w:type="dxa"/>
            <w:gridSpan w:val="2"/>
            <w:tcBorders>
              <w:top w:val="double" w:sz="4" w:space="0" w:color="FFFFFF"/>
              <w:left w:val="double" w:sz="4" w:space="0" w:color="FFFFFF"/>
              <w:bottom w:val="double" w:sz="4" w:space="0" w:color="FFFFFF"/>
              <w:right w:val="double" w:sz="4" w:space="0" w:color="FFFFFF"/>
            </w:tcBorders>
            <w:shd w:val="clear" w:color="auto" w:fill="F2F2F2" w:themeFill="background1" w:themeFillShade="F2"/>
          </w:tcPr>
          <w:p w14:paraId="37A129A6" w14:textId="77777777" w:rsidR="00046A23" w:rsidRPr="00AC072B" w:rsidRDefault="00046A23" w:rsidP="004C6886">
            <w:pPr>
              <w:jc w:val="center"/>
              <w:rPr>
                <w:sz w:val="18"/>
              </w:rPr>
            </w:pPr>
            <w:r w:rsidRPr="00AC072B">
              <w:rPr>
                <w:sz w:val="18"/>
              </w:rPr>
              <w:t>От какво се нуждае Вашият град за успешен #CitiesHeatDetox?</w:t>
            </w:r>
          </w:p>
          <w:p w14:paraId="2BB2B687" w14:textId="77777777" w:rsidR="00046A23" w:rsidRPr="00AC072B" w:rsidRDefault="00046A23" w:rsidP="004C6886">
            <w:pPr>
              <w:jc w:val="center"/>
              <w:rPr>
                <w:b/>
                <w:bCs/>
                <w:sz w:val="18"/>
              </w:rPr>
            </w:pPr>
            <w:r w:rsidRPr="00AC072B">
              <w:rPr>
                <w:b/>
                <w:sz w:val="18"/>
              </w:rPr>
              <w:t>Споделете историята си!</w:t>
            </w:r>
          </w:p>
          <w:p w14:paraId="3CC79A59" w14:textId="10CA4BC1" w:rsidR="00974AED" w:rsidRPr="00AC072B" w:rsidRDefault="0071528D" w:rsidP="007B2D00">
            <w:pPr>
              <w:jc w:val="center"/>
              <w:rPr>
                <w:color w:val="0059AA"/>
                <w:sz w:val="18"/>
              </w:rPr>
            </w:pPr>
            <w:r w:rsidRPr="00AC072B">
              <w:rPr>
                <w:color w:val="0059AA"/>
                <w:sz w:val="18"/>
              </w:rPr>
              <w:t xml:space="preserve">Използване на пакета за комуникация относно детокса (Detox Comms Package). </w:t>
            </w:r>
          </w:p>
        </w:tc>
      </w:tr>
    </w:tbl>
    <w:p w14:paraId="0E974FEB" w14:textId="77777777" w:rsidR="003E1EBD" w:rsidRPr="00AC072B" w:rsidRDefault="003E1EBD" w:rsidP="00046A23">
      <w:pPr>
        <w:pStyle w:val="Heading1"/>
        <w:rPr>
          <w:sz w:val="42"/>
        </w:rPr>
      </w:pPr>
    </w:p>
    <w:sectPr w:rsidR="003E1EBD" w:rsidRPr="00AC072B" w:rsidSect="003E1EBD">
      <w:headerReference w:type="default" r:id="rId16"/>
      <w:footerReference w:type="default" r:id="rId17"/>
      <w:pgSz w:w="11906" w:h="16838"/>
      <w:pgMar w:top="1701" w:right="1440" w:bottom="1701"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FA501C" w14:textId="77777777" w:rsidR="00CC598D" w:rsidRDefault="00CC598D" w:rsidP="00046A23">
      <w:r>
        <w:separator/>
      </w:r>
    </w:p>
  </w:endnote>
  <w:endnote w:type="continuationSeparator" w:id="0">
    <w:p w14:paraId="77661EDB" w14:textId="77777777" w:rsidR="00CC598D" w:rsidRDefault="00CC598D" w:rsidP="00046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3 Light">
    <w:altName w:val="Calibri"/>
    <w:charset w:val="00"/>
    <w:family w:val="swiss"/>
    <w:pitch w:val="variable"/>
    <w:sig w:usb0="E00002FF" w:usb1="00002003" w:usb2="00000000" w:usb3="00000000" w:csb0="0000019F" w:csb1="00000000"/>
  </w:font>
  <w:font w:name="Source Sans 3 SemiBold">
    <w:altName w:val="Calibri"/>
    <w:charset w:val="00"/>
    <w:family w:val="swiss"/>
    <w:pitch w:val="variable"/>
    <w:sig w:usb0="E00002FF" w:usb1="00002003" w:usb2="00000000" w:usb3="00000000" w:csb0="0000019F" w:csb1="00000000"/>
  </w:font>
  <w:font w:name="Bourton Hand Line Bold">
    <w:altName w:val="Calibri"/>
    <w:panose1 w:val="00000000000000000000"/>
    <w:charset w:val="00"/>
    <w:family w:val="auto"/>
    <w:notTrueType/>
    <w:pitch w:val="variable"/>
    <w:sig w:usb0="A00002EF" w:usb1="00002049" w:usb2="00000000" w:usb3="00000000" w:csb0="0000009F" w:csb1="00000000"/>
  </w:font>
  <w:font w:name="DengXian Light">
    <w:altName w:val="等线 Light"/>
    <w:charset w:val="86"/>
    <w:family w:val="auto"/>
    <w:pitch w:val="variable"/>
    <w:sig w:usb0="A00002BF" w:usb1="38CF7CFA" w:usb2="00000016" w:usb3="00000000" w:csb0="0004000F" w:csb1="00000000"/>
  </w:font>
  <w:font w:name="Source Sans Pro">
    <w:charset w:val="00"/>
    <w:family w:val="swiss"/>
    <w:pitch w:val="variable"/>
    <w:sig w:usb0="600002F7" w:usb1="02000001"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2AB55" w14:textId="1AA23810" w:rsidR="00E82943" w:rsidRPr="00046A23" w:rsidRDefault="00046A23" w:rsidP="00046A23">
    <w:pPr>
      <w:pStyle w:val="Header"/>
    </w:pPr>
    <w:r>
      <w:rPr>
        <w:b/>
      </w:rPr>
      <w:t>Ключови послания</w:t>
    </w:r>
    <w:r>
      <w:t xml:space="preserve"> – кампания 2024-2025 на Конвента на кметовете</w:t>
    </w:r>
    <w:r>
      <w:tab/>
    </w:r>
    <w:r>
      <w:tab/>
    </w:r>
    <w:r w:rsidR="00201747" w:rsidRPr="00201747">
      <w:rPr>
        <w:color w:val="000000" w:themeColor="text1"/>
      </w:rPr>
      <w:fldChar w:fldCharType="begin"/>
    </w:r>
    <w:r w:rsidR="00201747" w:rsidRPr="00201747">
      <w:rPr>
        <w:color w:val="000000" w:themeColor="text1"/>
      </w:rPr>
      <w:instrText xml:space="preserve"> PAGE  \* Arabic </w:instrText>
    </w:r>
    <w:r w:rsidR="00201747" w:rsidRPr="00201747">
      <w:rPr>
        <w:color w:val="000000" w:themeColor="text1"/>
      </w:rPr>
      <w:fldChar w:fldCharType="separate"/>
    </w:r>
    <w:r w:rsidR="006B1708">
      <w:rPr>
        <w:noProof/>
        <w:color w:val="000000" w:themeColor="text1"/>
      </w:rPr>
      <w:t>2</w:t>
    </w:r>
    <w:r w:rsidR="00201747" w:rsidRPr="00201747">
      <w:rPr>
        <w:color w:val="000000" w:themeColor="tex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ABDB44" w14:textId="77777777" w:rsidR="00CC598D" w:rsidRDefault="00CC598D" w:rsidP="00046A23">
      <w:r>
        <w:separator/>
      </w:r>
    </w:p>
  </w:footnote>
  <w:footnote w:type="continuationSeparator" w:id="0">
    <w:p w14:paraId="7AA611AB" w14:textId="77777777" w:rsidR="00CC598D" w:rsidRDefault="00CC598D" w:rsidP="00046A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667CA4" w14:textId="77777777" w:rsidR="00E82943" w:rsidRPr="00E82943" w:rsidRDefault="008A1451" w:rsidP="00046A23">
    <w:pPr>
      <w:pStyle w:val="Header"/>
    </w:pPr>
    <w:r>
      <w:rPr>
        <w:noProof/>
        <w:lang w:val="en-US"/>
      </w:rPr>
      <w:drawing>
        <wp:anchor distT="0" distB="0" distL="114300" distR="114300" simplePos="0" relativeHeight="251658240" behindDoc="1" locked="0" layoutInCell="1" allowOverlap="1" wp14:anchorId="71F87E33" wp14:editId="650E5633">
          <wp:simplePos x="0" y="0"/>
          <wp:positionH relativeFrom="column">
            <wp:posOffset>4937760</wp:posOffset>
          </wp:positionH>
          <wp:positionV relativeFrom="paragraph">
            <wp:posOffset>-450215</wp:posOffset>
          </wp:positionV>
          <wp:extent cx="1146175" cy="935990"/>
          <wp:effectExtent l="0" t="0" r="0" b="0"/>
          <wp:wrapNone/>
          <wp:docPr id="17497696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769602" name="Picture 1"/>
                  <pic:cNvPicPr/>
                </pic:nvPicPr>
                <pic:blipFill rotWithShape="1">
                  <a:blip r:embed="rId1">
                    <a:extLst>
                      <a:ext uri="{28A0092B-C50C-407E-A947-70E740481C1C}">
                        <a14:useLocalDpi xmlns:a14="http://schemas.microsoft.com/office/drawing/2010/main" val="0"/>
                      </a:ext>
                    </a:extLst>
                  </a:blip>
                  <a:srcRect l="-4711" t="-6535" r="4711" b="24873"/>
                  <a:stretch/>
                </pic:blipFill>
                <pic:spPr bwMode="auto">
                  <a:xfrm>
                    <a:off x="0" y="0"/>
                    <a:ext cx="1146175" cy="9359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A714D"/>
    <w:multiLevelType w:val="hybridMultilevel"/>
    <w:tmpl w:val="E2FA1B3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FB41F4B"/>
    <w:multiLevelType w:val="multilevel"/>
    <w:tmpl w:val="72AEFC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1A4376"/>
    <w:multiLevelType w:val="hybridMultilevel"/>
    <w:tmpl w:val="9B78EA0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545454"/>
    <w:multiLevelType w:val="hybridMultilevel"/>
    <w:tmpl w:val="BFCC8C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DB6A02"/>
    <w:multiLevelType w:val="multilevel"/>
    <w:tmpl w:val="39225A0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117D31"/>
    <w:multiLevelType w:val="multilevel"/>
    <w:tmpl w:val="22D0DD2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73252A0"/>
    <w:multiLevelType w:val="multilevel"/>
    <w:tmpl w:val="FF2609FE"/>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2020208"/>
    <w:multiLevelType w:val="hybridMultilevel"/>
    <w:tmpl w:val="2AA09232"/>
    <w:lvl w:ilvl="0" w:tplc="1FB0105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65747563">
    <w:abstractNumId w:val="3"/>
  </w:num>
  <w:num w:numId="2" w16cid:durableId="2080202510">
    <w:abstractNumId w:val="0"/>
  </w:num>
  <w:num w:numId="3" w16cid:durableId="1193805214">
    <w:abstractNumId w:val="4"/>
  </w:num>
  <w:num w:numId="4" w16cid:durableId="1751270912">
    <w:abstractNumId w:val="5"/>
  </w:num>
  <w:num w:numId="5" w16cid:durableId="363990601">
    <w:abstractNumId w:val="6"/>
  </w:num>
  <w:num w:numId="6" w16cid:durableId="1794398961">
    <w:abstractNumId w:val="1"/>
  </w:num>
  <w:num w:numId="7" w16cid:durableId="2049251">
    <w:abstractNumId w:val="7"/>
  </w:num>
  <w:num w:numId="8" w16cid:durableId="3125610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6A23"/>
    <w:rsid w:val="000359E4"/>
    <w:rsid w:val="00046A23"/>
    <w:rsid w:val="000E70B5"/>
    <w:rsid w:val="001617F0"/>
    <w:rsid w:val="00161AFC"/>
    <w:rsid w:val="00166C53"/>
    <w:rsid w:val="00184976"/>
    <w:rsid w:val="00201747"/>
    <w:rsid w:val="002148E5"/>
    <w:rsid w:val="002210B7"/>
    <w:rsid w:val="002434A0"/>
    <w:rsid w:val="00270DB3"/>
    <w:rsid w:val="002770E4"/>
    <w:rsid w:val="002D2697"/>
    <w:rsid w:val="00330FF4"/>
    <w:rsid w:val="00337A76"/>
    <w:rsid w:val="003B1BD4"/>
    <w:rsid w:val="003E1EBD"/>
    <w:rsid w:val="00463851"/>
    <w:rsid w:val="00473389"/>
    <w:rsid w:val="004C3998"/>
    <w:rsid w:val="005058B8"/>
    <w:rsid w:val="00512F61"/>
    <w:rsid w:val="005A2121"/>
    <w:rsid w:val="005A7E29"/>
    <w:rsid w:val="005B43E6"/>
    <w:rsid w:val="005C74C8"/>
    <w:rsid w:val="005F1B0D"/>
    <w:rsid w:val="006609AC"/>
    <w:rsid w:val="006B1708"/>
    <w:rsid w:val="006B441F"/>
    <w:rsid w:val="006B70EB"/>
    <w:rsid w:val="006D0942"/>
    <w:rsid w:val="0071528D"/>
    <w:rsid w:val="007849FB"/>
    <w:rsid w:val="007B2D00"/>
    <w:rsid w:val="007D5ED3"/>
    <w:rsid w:val="007F2F1A"/>
    <w:rsid w:val="00806C72"/>
    <w:rsid w:val="00811AE0"/>
    <w:rsid w:val="0085119A"/>
    <w:rsid w:val="008748DB"/>
    <w:rsid w:val="008A1451"/>
    <w:rsid w:val="008C1A99"/>
    <w:rsid w:val="0090324F"/>
    <w:rsid w:val="0092104B"/>
    <w:rsid w:val="009313F9"/>
    <w:rsid w:val="00934CFD"/>
    <w:rsid w:val="00974AED"/>
    <w:rsid w:val="009A6F4F"/>
    <w:rsid w:val="009D2ABB"/>
    <w:rsid w:val="00A22A47"/>
    <w:rsid w:val="00AA1CC1"/>
    <w:rsid w:val="00AA432C"/>
    <w:rsid w:val="00AC072B"/>
    <w:rsid w:val="00AE2775"/>
    <w:rsid w:val="00B02EC3"/>
    <w:rsid w:val="00B467A5"/>
    <w:rsid w:val="00C51B7E"/>
    <w:rsid w:val="00C67D2D"/>
    <w:rsid w:val="00C71221"/>
    <w:rsid w:val="00CA04C0"/>
    <w:rsid w:val="00CB2AD2"/>
    <w:rsid w:val="00CC598D"/>
    <w:rsid w:val="00CE4518"/>
    <w:rsid w:val="00CE714A"/>
    <w:rsid w:val="00D03DBD"/>
    <w:rsid w:val="00D2554D"/>
    <w:rsid w:val="00D37FB9"/>
    <w:rsid w:val="00D50904"/>
    <w:rsid w:val="00D76C74"/>
    <w:rsid w:val="00E82943"/>
    <w:rsid w:val="00EA1CAB"/>
    <w:rsid w:val="00EC75A8"/>
    <w:rsid w:val="00F20BF8"/>
    <w:rsid w:val="00F538F6"/>
  </w:rsids>
  <m:mathPr>
    <m:mathFont m:val="Cambria Math"/>
    <m:brkBin m:val="before"/>
    <m:brkBinSub m:val="--"/>
    <m:smallFrac m:val="0"/>
    <m:dispDef/>
    <m:lMargin m:val="0"/>
    <m:rMargin m:val="0"/>
    <m:defJc m:val="centerGroup"/>
    <m:wrapIndent m:val="1440"/>
    <m:intLim m:val="subSup"/>
    <m:naryLim m:val="undOvr"/>
  </m:mathPr>
  <w:themeFontLang w:val="fr-B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DC4EF9"/>
  <w15:docId w15:val="{9DA4C13D-F627-4778-9EB6-65B91F817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bg-B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A23"/>
    <w:pPr>
      <w:spacing w:after="240"/>
    </w:pPr>
    <w:rPr>
      <w:rFonts w:ascii="Source Sans 3 Light" w:hAnsi="Source Sans 3 Light"/>
      <w:sz w:val="20"/>
      <w:szCs w:val="20"/>
    </w:rPr>
  </w:style>
  <w:style w:type="paragraph" w:styleId="Heading1">
    <w:name w:val="heading 1"/>
    <w:basedOn w:val="Normal"/>
    <w:next w:val="Normal"/>
    <w:link w:val="Heading1Char"/>
    <w:uiPriority w:val="9"/>
    <w:qFormat/>
    <w:rsid w:val="00046A23"/>
    <w:pPr>
      <w:outlineLvl w:val="0"/>
    </w:pPr>
    <w:rPr>
      <w:rFonts w:ascii="Source Sans 3 SemiBold" w:hAnsi="Source Sans 3 SemiBold"/>
      <w:b/>
      <w:bCs/>
      <w:sz w:val="44"/>
      <w:szCs w:val="44"/>
    </w:rPr>
  </w:style>
  <w:style w:type="paragraph" w:styleId="Heading2">
    <w:name w:val="heading 2"/>
    <w:basedOn w:val="Normal"/>
    <w:next w:val="Normal"/>
    <w:link w:val="Heading2Char"/>
    <w:uiPriority w:val="9"/>
    <w:unhideWhenUsed/>
    <w:qFormat/>
    <w:rsid w:val="00046A23"/>
    <w:pPr>
      <w:outlineLvl w:val="1"/>
    </w:pPr>
    <w:rPr>
      <w:rFonts w:ascii="Bourton Hand Line Bold" w:hAnsi="Bourton Hand Line Bold"/>
      <w:b/>
      <w:bCs/>
      <w:sz w:val="24"/>
      <w:szCs w:val="24"/>
    </w:rPr>
  </w:style>
  <w:style w:type="paragraph" w:styleId="Heading3">
    <w:name w:val="heading 3"/>
    <w:basedOn w:val="Normal"/>
    <w:next w:val="Normal"/>
    <w:link w:val="Heading3Char"/>
    <w:uiPriority w:val="9"/>
    <w:semiHidden/>
    <w:unhideWhenUsed/>
    <w:qFormat/>
    <w:rsid w:val="00E829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829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829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829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829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829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829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6A23"/>
    <w:rPr>
      <w:rFonts w:ascii="Source Sans 3 SemiBold" w:hAnsi="Source Sans 3 SemiBold"/>
      <w:b/>
      <w:bCs/>
      <w:sz w:val="44"/>
      <w:szCs w:val="44"/>
    </w:rPr>
  </w:style>
  <w:style w:type="character" w:customStyle="1" w:styleId="Heading2Char">
    <w:name w:val="Heading 2 Char"/>
    <w:basedOn w:val="DefaultParagraphFont"/>
    <w:link w:val="Heading2"/>
    <w:uiPriority w:val="9"/>
    <w:rsid w:val="00046A23"/>
    <w:rPr>
      <w:rFonts w:ascii="Bourton Hand Line Bold" w:hAnsi="Bourton Hand Line Bold"/>
      <w:b/>
      <w:bCs/>
      <w:lang w:val="bg-BG"/>
    </w:rPr>
  </w:style>
  <w:style w:type="character" w:customStyle="1" w:styleId="Heading3Char">
    <w:name w:val="Heading 3 Char"/>
    <w:basedOn w:val="DefaultParagraphFont"/>
    <w:link w:val="Heading3"/>
    <w:uiPriority w:val="9"/>
    <w:semiHidden/>
    <w:rsid w:val="00E829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829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829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829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829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829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82943"/>
    <w:rPr>
      <w:rFonts w:eastAsiaTheme="majorEastAsia" w:cstheme="majorBidi"/>
      <w:color w:val="272727" w:themeColor="text1" w:themeTint="D8"/>
    </w:rPr>
  </w:style>
  <w:style w:type="paragraph" w:styleId="Title">
    <w:name w:val="Title"/>
    <w:basedOn w:val="Normal"/>
    <w:next w:val="Normal"/>
    <w:link w:val="TitleChar"/>
    <w:uiPriority w:val="10"/>
    <w:qFormat/>
    <w:rsid w:val="00046A23"/>
    <w:rPr>
      <w:rFonts w:ascii="Source Sans 3 SemiBold" w:hAnsi="Source Sans 3 SemiBold"/>
      <w:b/>
      <w:bCs/>
      <w:sz w:val="60"/>
      <w:szCs w:val="60"/>
    </w:rPr>
  </w:style>
  <w:style w:type="character" w:customStyle="1" w:styleId="TitleChar">
    <w:name w:val="Title Char"/>
    <w:basedOn w:val="DefaultParagraphFont"/>
    <w:link w:val="Title"/>
    <w:uiPriority w:val="10"/>
    <w:rsid w:val="00046A23"/>
    <w:rPr>
      <w:rFonts w:ascii="Source Sans 3 SemiBold" w:hAnsi="Source Sans 3 SemiBold"/>
      <w:b/>
      <w:bCs/>
      <w:sz w:val="60"/>
      <w:szCs w:val="60"/>
      <w:lang w:val="bg-BG"/>
    </w:rPr>
  </w:style>
  <w:style w:type="paragraph" w:styleId="Subtitle">
    <w:name w:val="Subtitle"/>
    <w:basedOn w:val="Normal"/>
    <w:next w:val="Normal"/>
    <w:link w:val="SubtitleChar"/>
    <w:uiPriority w:val="11"/>
    <w:qFormat/>
    <w:rsid w:val="00E829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829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829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82943"/>
    <w:rPr>
      <w:i/>
      <w:iCs/>
      <w:color w:val="404040" w:themeColor="text1" w:themeTint="BF"/>
    </w:rPr>
  </w:style>
  <w:style w:type="paragraph" w:styleId="ListParagraph">
    <w:name w:val="List Paragraph"/>
    <w:basedOn w:val="Normal"/>
    <w:uiPriority w:val="34"/>
    <w:qFormat/>
    <w:rsid w:val="00E82943"/>
    <w:pPr>
      <w:ind w:left="720"/>
      <w:contextualSpacing/>
    </w:pPr>
  </w:style>
  <w:style w:type="character" w:styleId="IntenseEmphasis">
    <w:name w:val="Intense Emphasis"/>
    <w:basedOn w:val="DefaultParagraphFont"/>
    <w:uiPriority w:val="21"/>
    <w:qFormat/>
    <w:rsid w:val="00E82943"/>
    <w:rPr>
      <w:i/>
      <w:iCs/>
      <w:color w:val="0F4761" w:themeColor="accent1" w:themeShade="BF"/>
    </w:rPr>
  </w:style>
  <w:style w:type="paragraph" w:styleId="IntenseQuote">
    <w:name w:val="Intense Quote"/>
    <w:basedOn w:val="Normal"/>
    <w:next w:val="Normal"/>
    <w:link w:val="IntenseQuoteChar"/>
    <w:uiPriority w:val="30"/>
    <w:qFormat/>
    <w:rsid w:val="00E829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82943"/>
    <w:rPr>
      <w:i/>
      <w:iCs/>
      <w:color w:val="0F4761" w:themeColor="accent1" w:themeShade="BF"/>
    </w:rPr>
  </w:style>
  <w:style w:type="character" w:styleId="IntenseReference">
    <w:name w:val="Intense Reference"/>
    <w:basedOn w:val="DefaultParagraphFont"/>
    <w:uiPriority w:val="32"/>
    <w:qFormat/>
    <w:rsid w:val="00E82943"/>
    <w:rPr>
      <w:b/>
      <w:bCs/>
      <w:smallCaps/>
      <w:color w:val="0F4761" w:themeColor="accent1" w:themeShade="BF"/>
      <w:spacing w:val="5"/>
    </w:rPr>
  </w:style>
  <w:style w:type="paragraph" w:styleId="Header">
    <w:name w:val="header"/>
    <w:basedOn w:val="Normal"/>
    <w:link w:val="HeaderChar"/>
    <w:uiPriority w:val="99"/>
    <w:unhideWhenUsed/>
    <w:rsid w:val="00E82943"/>
    <w:pPr>
      <w:tabs>
        <w:tab w:val="center" w:pos="4513"/>
        <w:tab w:val="right" w:pos="9026"/>
      </w:tabs>
    </w:pPr>
  </w:style>
  <w:style w:type="character" w:customStyle="1" w:styleId="HeaderChar">
    <w:name w:val="Header Char"/>
    <w:basedOn w:val="DefaultParagraphFont"/>
    <w:link w:val="Header"/>
    <w:uiPriority w:val="99"/>
    <w:rsid w:val="00E82943"/>
  </w:style>
  <w:style w:type="paragraph" w:styleId="Footer">
    <w:name w:val="footer"/>
    <w:basedOn w:val="Normal"/>
    <w:link w:val="FooterChar"/>
    <w:uiPriority w:val="99"/>
    <w:unhideWhenUsed/>
    <w:rsid w:val="00E82943"/>
    <w:pPr>
      <w:tabs>
        <w:tab w:val="center" w:pos="4513"/>
        <w:tab w:val="right" w:pos="9026"/>
      </w:tabs>
    </w:pPr>
  </w:style>
  <w:style w:type="character" w:customStyle="1" w:styleId="FooterChar">
    <w:name w:val="Footer Char"/>
    <w:basedOn w:val="DefaultParagraphFont"/>
    <w:link w:val="Footer"/>
    <w:uiPriority w:val="99"/>
    <w:rsid w:val="00E82943"/>
  </w:style>
  <w:style w:type="table" w:styleId="TableGrid">
    <w:name w:val="Table Grid"/>
    <w:basedOn w:val="TableNormal"/>
    <w:uiPriority w:val="39"/>
    <w:rsid w:val="00046A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6A23"/>
    <w:rPr>
      <w:color w:val="467886" w:themeColor="hyperlink"/>
      <w:u w:val="single"/>
    </w:rPr>
  </w:style>
  <w:style w:type="paragraph" w:styleId="NoSpacing">
    <w:name w:val="No Spacing"/>
    <w:uiPriority w:val="1"/>
    <w:qFormat/>
    <w:rsid w:val="00046A23"/>
    <w:rPr>
      <w:rFonts w:ascii="Source Sans 3 Light" w:hAnsi="Source Sans 3 Light"/>
      <w:sz w:val="20"/>
      <w:szCs w:val="20"/>
    </w:rPr>
  </w:style>
  <w:style w:type="character" w:customStyle="1" w:styleId="UnresolvedMention1">
    <w:name w:val="Unresolved Mention1"/>
    <w:basedOn w:val="DefaultParagraphFont"/>
    <w:uiPriority w:val="99"/>
    <w:semiHidden/>
    <w:unhideWhenUsed/>
    <w:rsid w:val="00974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6649128">
      <w:bodyDiv w:val="1"/>
      <w:marLeft w:val="0"/>
      <w:marRight w:val="0"/>
      <w:marTop w:val="0"/>
      <w:marBottom w:val="0"/>
      <w:divBdr>
        <w:top w:val="none" w:sz="0" w:space="0" w:color="auto"/>
        <w:left w:val="none" w:sz="0" w:space="0" w:color="auto"/>
        <w:bottom w:val="none" w:sz="0" w:space="0" w:color="auto"/>
        <w:right w:val="none" w:sz="0" w:space="0" w:color="auto"/>
      </w:divBdr>
    </w:div>
    <w:div w:id="1229340072">
      <w:bodyDiv w:val="1"/>
      <w:marLeft w:val="0"/>
      <w:marRight w:val="0"/>
      <w:marTop w:val="0"/>
      <w:marBottom w:val="0"/>
      <w:divBdr>
        <w:top w:val="none" w:sz="0" w:space="0" w:color="auto"/>
        <w:left w:val="none" w:sz="0" w:space="0" w:color="auto"/>
        <w:bottom w:val="none" w:sz="0" w:space="0" w:color="auto"/>
        <w:right w:val="none" w:sz="0" w:space="0" w:color="auto"/>
      </w:divBdr>
    </w:div>
    <w:div w:id="12457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mayors.ec.europa.eu/en/The-Cities-Heat-Detox"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nergy-cities.eu/local-heating-and-cooling-plan/" TargetMode="External"/><Relationship Id="rId22"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7926C7A5212A4CA73F8938036D9B3A" ma:contentTypeVersion="16" ma:contentTypeDescription="Crée un document." ma:contentTypeScope="" ma:versionID="855a7786b47a2884e974c036b3458f1c">
  <xsd:schema xmlns:xsd="http://www.w3.org/2001/XMLSchema" xmlns:xs="http://www.w3.org/2001/XMLSchema" xmlns:p="http://schemas.microsoft.com/office/2006/metadata/properties" xmlns:ns2="9ecfea4f-ee54-4671-a1b6-73d55e8c41ed" xmlns:ns3="c5d922da-e512-4c5d-aa42-266487e1f55e" targetNamespace="http://schemas.microsoft.com/office/2006/metadata/properties" ma:root="true" ma:fieldsID="58dc0cb679325dd1cdf1fbb2c58ffb5c" ns2:_="" ns3:_="">
    <xsd:import namespace="9ecfea4f-ee54-4671-a1b6-73d55e8c41ed"/>
    <xsd:import namespace="c5d922da-e512-4c5d-aa42-266487e1f5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cfea4f-ee54-4671-a1b6-73d55e8c41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fc801ed7-ebd6-4100-9abd-51aea90216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d922da-e512-4c5d-aa42-266487e1f55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125cc80-3ee4-4d79-ba4e-9f0a8bf24abe}" ma:internalName="TaxCatchAll" ma:showField="CatchAllData" ma:web="c5d922da-e512-4c5d-aa42-266487e1f5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cfea4f-ee54-4671-a1b6-73d55e8c41ed">
      <Terms xmlns="http://schemas.microsoft.com/office/infopath/2007/PartnerControls"/>
    </lcf76f155ced4ddcb4097134ff3c332f>
    <TaxCatchAll xmlns="c5d922da-e512-4c5d-aa42-266487e1f55e" xsi:nil="true"/>
  </documentManagement>
</p:properties>
</file>

<file path=customXml/itemProps1.xml><?xml version="1.0" encoding="utf-8"?>
<ds:datastoreItem xmlns:ds="http://schemas.openxmlformats.org/officeDocument/2006/customXml" ds:itemID="{CF5458CF-7B6B-4F79-87BF-9C46BB899A8F}">
  <ds:schemaRefs>
    <ds:schemaRef ds:uri="http://schemas.openxmlformats.org/officeDocument/2006/bibliography"/>
  </ds:schemaRefs>
</ds:datastoreItem>
</file>

<file path=customXml/itemProps2.xml><?xml version="1.0" encoding="utf-8"?>
<ds:datastoreItem xmlns:ds="http://schemas.openxmlformats.org/officeDocument/2006/customXml" ds:itemID="{F9A30A2E-9F16-4DD1-8FDC-24AD45BFCB14}"/>
</file>

<file path=customXml/itemProps3.xml><?xml version="1.0" encoding="utf-8"?>
<ds:datastoreItem xmlns:ds="http://schemas.openxmlformats.org/officeDocument/2006/customXml" ds:itemID="{52B16414-0F1E-472E-8DD1-190CB77D8F84}"/>
</file>

<file path=customXml/itemProps4.xml><?xml version="1.0" encoding="utf-8"?>
<ds:datastoreItem xmlns:ds="http://schemas.openxmlformats.org/officeDocument/2006/customXml" ds:itemID="{A577355C-5AD4-4CBF-9A0B-FACC845C2126}"/>
</file>

<file path=docProps/app.xml><?xml version="1.0" encoding="utf-8"?>
<Properties xmlns="http://schemas.openxmlformats.org/officeDocument/2006/extended-properties" xmlns:vt="http://schemas.openxmlformats.org/officeDocument/2006/docPropsVTypes">
  <Template>Normal.dotm</Template>
  <TotalTime>102</TotalTime>
  <Pages>5</Pages>
  <Words>1375</Words>
  <Characters>7840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Zeljko Susljic</cp:lastModifiedBy>
  <cp:revision>20</cp:revision>
  <dcterms:created xsi:type="dcterms:W3CDTF">2024-06-07T14:27:00Z</dcterms:created>
  <dcterms:modified xsi:type="dcterms:W3CDTF">2024-08-07T14:37:00Z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0x010100C97926C7A5212A4CA73F8938036D9B3A</vt:lpwstr>
  </property>
</Properties>
</file>